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4D" w:rsidRDefault="002A2C4D" w:rsidP="002A2C4D">
      <w:pPr>
        <w:pStyle w:val="007PODSTAWAtytul"/>
        <w:spacing w:after="227"/>
        <w:jc w:val="left"/>
      </w:pPr>
      <w:bookmarkStart w:id="0" w:name="_GoBack"/>
      <w:bookmarkEnd w:id="0"/>
      <w:r>
        <w:t xml:space="preserve">Rozkład materiału. Klasa 7 </w:t>
      </w:r>
    </w:p>
    <w:tbl>
      <w:tblPr>
        <w:tblW w:w="1021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60"/>
        <w:gridCol w:w="6403"/>
      </w:tblGrid>
      <w:tr w:rsidR="002A2C4D" w:rsidTr="00E537DB">
        <w:trPr>
          <w:trHeight w:val="60"/>
          <w:tblHeader/>
        </w:trPr>
        <w:tc>
          <w:tcPr>
            <w:tcW w:w="3749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C4D" w:rsidRDefault="002A2C4D" w:rsidP="00301EF7">
            <w:pPr>
              <w:pStyle w:val="100tabelaglowkaAdaminne"/>
            </w:pPr>
            <w:r>
              <w:t>Temat lekcji</w:t>
            </w:r>
          </w:p>
        </w:tc>
        <w:tc>
          <w:tcPr>
            <w:tcW w:w="6463" w:type="dxa"/>
            <w:gridSpan w:val="2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C4D" w:rsidRDefault="002A2C4D" w:rsidP="00301EF7">
            <w:pPr>
              <w:pStyle w:val="100tabelaglowkaAdaminne"/>
            </w:pPr>
            <w:r>
              <w:t>Hasło z podstawy programowej</w:t>
            </w:r>
          </w:p>
        </w:tc>
      </w:tr>
      <w:tr w:rsidR="00E537DB" w:rsidTr="00E537DB">
        <w:trPr>
          <w:trHeight w:val="398"/>
        </w:trPr>
        <w:tc>
          <w:tcPr>
            <w:tcW w:w="3809" w:type="dxa"/>
            <w:gridSpan w:val="2"/>
            <w:tcBorders>
              <w:top w:val="single" w:sz="2" w:space="0" w:color="FFFFFF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537DB" w:rsidRDefault="00E537DB" w:rsidP="00EB7212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6403" w:type="dxa"/>
            <w:tcBorders>
              <w:top w:val="single" w:sz="2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537DB" w:rsidRDefault="00E537DB" w:rsidP="00EB7212">
            <w:pPr>
              <w:pStyle w:val="100tabelaglowkadrugirzadAdaminne"/>
              <w:ind w:left="113"/>
            </w:pP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1.</w:t>
            </w:r>
            <w:r>
              <w:tab/>
              <w:t>Kongres wiedeński</w:t>
            </w:r>
          </w:p>
        </w:tc>
        <w:tc>
          <w:tcPr>
            <w:tcW w:w="646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XIX.</w:t>
            </w:r>
            <w:r>
              <w:tab/>
              <w:t xml:space="preserve">Europa po kongresie wiedeńskim.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omawia przebieg i decyzje kongresu wiedeńskiego w odniesieniu do Europy, w tym do ziem polskich.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2.</w:t>
            </w:r>
            <w:r>
              <w:tab/>
              <w:t xml:space="preserve">Walka z porządkiem pokongresowym 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XXI.</w:t>
            </w:r>
            <w:r>
              <w:tab/>
              <w:t>Europa w okresie Wiosny Ludów. Uczeń: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wymienia wydarzenia związane z walką z porządkiem wiedeńskim, charakteryzuje przebieg Wiosny Ludów w Europie.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3.</w:t>
            </w:r>
            <w:r>
              <w:tab/>
              <w:t>Królestwo Polskie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XX.</w:t>
            </w:r>
            <w:r>
              <w:tab/>
              <w:t xml:space="preserve">Ziemie polskie w latach 1815–1848.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 xml:space="preserve">wskazuje na mapie podział polityczny ziem polskich po kongresie wiedeńskim;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charakteryzuje okres konstytucyjny Królestwa Polskiego – ustrój, osiągnięcia w gospodarce, kulturze i edukacji.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4.</w:t>
            </w:r>
            <w:r>
              <w:tab/>
              <w:t>Powstanie listopadowe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XX.</w:t>
            </w:r>
            <w:r>
              <w:tab/>
              <w:t>Ziemie polskie w latach 1815–1848. Uczeń: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przedstawia przyczyny wybuchu powstania listopadowego, charakter zmagań i następstwa powstania dla Polaków w różnych zaborach.</w:t>
            </w:r>
          </w:p>
        </w:tc>
      </w:tr>
      <w:tr w:rsidR="002A2C4D" w:rsidTr="00E537DB">
        <w:trPr>
          <w:trHeight w:val="709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5.</w:t>
            </w:r>
            <w:r>
              <w:tab/>
              <w:t>Wielka Emigracja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XX.</w:t>
            </w:r>
            <w:r>
              <w:tab/>
              <w:t xml:space="preserve">Ziemie polskie w latach 1815–1848. Uczeń: </w:t>
            </w:r>
          </w:p>
          <w:p w:rsidR="002A2C4D" w:rsidRDefault="002A2C4D" w:rsidP="00301EF7">
            <w:pPr>
              <w:pStyle w:val="RMtabelatekst1"/>
            </w:pPr>
            <w:r>
              <w:t>5)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charakteryzuje główne nurty oraz postacie Wielkiej Emigracji i ruch spiskowy w kraju.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6.</w:t>
            </w:r>
            <w:r>
              <w:tab/>
              <w:t>Ziemie polskie po upadku powstania listopadowego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XX.</w:t>
            </w:r>
            <w:r>
              <w:tab/>
              <w:t>Ziemie polskie w latach 1815–1848. Uczeń: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 xml:space="preserve">omawia położenie Polaków w zaborach pruskim i austriackim, na obszarze ziem zabranych oraz w Rzeczypospolitej Krakowskiej; </w:t>
            </w:r>
          </w:p>
          <w:p w:rsidR="002A2C4D" w:rsidRDefault="002A2C4D" w:rsidP="00301EF7">
            <w:pPr>
              <w:pStyle w:val="RMtabelatekstliczba"/>
            </w:pPr>
            <w:r>
              <w:tab/>
              <w:t>XXI.</w:t>
            </w:r>
            <w:r>
              <w:tab/>
              <w:t>Europa w okresie Wiosny Ludów. Uczeń: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omawia przyczyny i skutki powstania krakowskiego oraz Wiosny Ludów na ziemiach polskich.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7.</w:t>
            </w:r>
            <w:r>
              <w:tab/>
              <w:t>Wiosna Ludów w Europie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XXI.</w:t>
            </w:r>
            <w:r>
              <w:tab/>
              <w:t>Europa w okresie Wiosny Ludów. Uczeń: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>wymienia wydarzenia związane z walką z porządkiem wiedeńskim, charakteryzuje przebieg Wiosny Ludów w Europie.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8.</w:t>
            </w:r>
            <w:r>
              <w:tab/>
              <w:t>Wiosna Ludów na ziemiach polskich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XXI.</w:t>
            </w:r>
            <w:r>
              <w:tab/>
              <w:t>Europa w okresie Wiosny Ludów. Uczeń:</w:t>
            </w:r>
          </w:p>
          <w:p w:rsidR="002A2C4D" w:rsidRDefault="002A2C4D" w:rsidP="00301EF7">
            <w:pPr>
              <w:pStyle w:val="RMtabelatekst1"/>
            </w:pPr>
            <w:r>
              <w:t>6)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omawia przyczyny i skutki powstania krakowskiego oraz Wiosny Ludów na ziemiach polskich.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lastRenderedPageBreak/>
              <w:tab/>
              <w:t>9.</w:t>
            </w:r>
            <w:r>
              <w:tab/>
              <w:t>Rewolucja przemysłowa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XIX.</w:t>
            </w:r>
            <w:r>
              <w:tab/>
              <w:t xml:space="preserve">Europa po kongresie wiedeńskim. Uczeń: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charakteryzuje najważniejsze przejawy rewolucji przemysłowej (wynalazki i ich zastosowania, obszary uprzemysłowienia, zmiany struktur społecznych i warunków życia).</w:t>
            </w:r>
          </w:p>
        </w:tc>
      </w:tr>
      <w:tr w:rsidR="002A2C4D" w:rsidTr="00E537DB">
        <w:trPr>
          <w:trHeight w:hRule="exact" w:val="510"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  <w:vAlign w:val="center"/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Bold" w:hAnsi="AgendaPl Bold" w:cs="AgendaPl Bold"/>
              </w:rPr>
              <w:t>Lekcja powtórzeniowa. Pierwsza połowa XIX wieku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10.</w:t>
            </w:r>
            <w:r>
              <w:tab/>
              <w:t>Zjednoczenie Włoch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XXIII.</w:t>
            </w:r>
            <w:r>
              <w:tab/>
              <w:t xml:space="preserve">Europa i świat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opisuje sytuację polityczną w Europie w II połowie XIX wieku, w tym procesy zjednoczeniowe Włoch i Niemiec.</w:t>
            </w:r>
          </w:p>
        </w:tc>
      </w:tr>
      <w:tr w:rsidR="002A2C4D" w:rsidTr="00E537DB">
        <w:trPr>
          <w:trHeight w:val="953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11.</w:t>
            </w:r>
            <w:r>
              <w:tab/>
              <w:t>Zjednoczenie Niemiec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XXIII.</w:t>
            </w:r>
            <w:r>
              <w:tab/>
              <w:t xml:space="preserve">Europa i świat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rPr>
                <w:rFonts w:ascii="AgendaPl BoldCondensed" w:hAnsi="AgendaPl BoldCondensed" w:cs="AgendaPl BoldCondensed"/>
                <w:b/>
                <w:bCs/>
              </w:rPr>
              <w:tab/>
            </w:r>
            <w:r>
              <w:t>opisuje sytuację polityczną w Europie w II połowie XIX wieku, w tym procesy zjednoczeniowe Włoch i Niemiec.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12.</w:t>
            </w:r>
            <w:r>
              <w:tab/>
              <w:t>Wojna secesyjna w Stanach Zjednoczonych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XXIII.</w:t>
            </w:r>
            <w:r>
              <w:tab/>
              <w:t>Europa i świat w II połowie XIX i na początku XX wieku. Uczeń: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>prezentuje przyczyny i skutki wojny secesyjnej w Stanach Zjednoczonych.</w:t>
            </w:r>
          </w:p>
        </w:tc>
      </w:tr>
      <w:tr w:rsidR="002A2C4D" w:rsidTr="00E537DB">
        <w:trPr>
          <w:trHeight w:val="453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13.</w:t>
            </w:r>
            <w:r>
              <w:tab/>
              <w:t>Kolonializm europejski w XIX wieku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XXIII.</w:t>
            </w:r>
            <w:r>
              <w:tab/>
              <w:t xml:space="preserve">Europa i świat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spacing w:val="2"/>
              </w:rPr>
              <w:t>3)</w:t>
            </w:r>
            <w:r>
              <w:rPr>
                <w:spacing w:val="2"/>
              </w:rPr>
              <w:tab/>
              <w:t>wyjaśnia przyczyny, zasięg i następstwa ekspansji kolonialnej państw europejskich w XIX wieku.</w:t>
            </w:r>
          </w:p>
        </w:tc>
      </w:tr>
      <w:tr w:rsidR="002A2C4D" w:rsidTr="00E537DB">
        <w:trPr>
          <w:trHeight w:val="60"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Bold" w:hAnsi="AgendaPl Bold" w:cs="AgendaPl Bold"/>
              </w:rPr>
              <w:t>Lekcja powtórzeniowa. Druga połowa XIX wieku</w:t>
            </w:r>
            <w:r>
              <w:rPr>
                <w:rFonts w:ascii="AgendaPl Regular" w:hAnsi="AgendaPl Regular" w:cs="AgendaPl Regular"/>
                <w:b w:val="0"/>
                <w:bCs w:val="0"/>
              </w:rPr>
              <w:t xml:space="preserve"> (tematy 10.–13.)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14.</w:t>
            </w:r>
            <w:r>
              <w:tab/>
              <w:t>Królestwo Polskie przed powstaniem styczniowym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XXII.</w:t>
            </w:r>
            <w:r>
              <w:tab/>
              <w:t xml:space="preserve">Powstanie styczniowe.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>omawia pośrednie i bezpośrednie przyczyny powstania, w tym „rewolucję moralną” 1861– 1862.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15.</w:t>
            </w:r>
            <w:r>
              <w:tab/>
              <w:t>Powstanie styczniowe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XXII.</w:t>
            </w:r>
            <w:r>
              <w:tab/>
              <w:t xml:space="preserve">Powstanie styczniowe. Uczeń: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dokonuje charakterystyki działań powstańczych z uwzględnieniem, jeśli to możliwe, przebiegu powstania w swoim regionie;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>omawia uwłaszczenie chłopów w zaborze rosyjskim oraz porównuje z uwłaszczeniem w pozostałych zaborach.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16.</w:t>
            </w:r>
            <w:r>
              <w:tab/>
              <w:t>Upadek powstania i represje rosyjskie wobec Polaków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XXII.</w:t>
            </w:r>
            <w:r>
              <w:tab/>
              <w:t>Powstanie styczniowe. Uczeń: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charakteryzuje formy represji popowstaniowych.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17.</w:t>
            </w:r>
            <w:r>
              <w:tab/>
              <w:t>Walka o polskość w zaborze rosyjskim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XXIV.</w:t>
            </w:r>
            <w:r>
              <w:tab/>
              <w:t xml:space="preserve">Ziemie polskie pod zaborami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wyjaśnia cele i opisuje metody działań zaborców wobec mieszkańców ziem dawnej ­Rzeczypospolitej – rusyfikacja, </w:t>
            </w:r>
            <w:r>
              <w:lastRenderedPageBreak/>
              <w:t xml:space="preserve">germanizacja (Kulturkampf), autonomia galicyjska;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>opisuje formowanie się nowoczesnej świadomości narodowej Polaków.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lastRenderedPageBreak/>
              <w:tab/>
              <w:t>18.</w:t>
            </w:r>
            <w:r>
              <w:tab/>
              <w:t>Zabór pruski – walka z germanizacją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XXIV.</w:t>
            </w:r>
            <w:r>
              <w:tab/>
              <w:t xml:space="preserve">Ziemie polskie pod zaborami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wyjaśnia cele i opisuje metody działań zaborców wobec mieszkańców ziem dawnej ­Rzeczypospolitej – rusyfikacja, germanizacja (Kulturkampf), autonomia galicyjska;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rozróżnia postawy społeczeństwa polskiego w stosunku do zaborców – trójlojalizm, ­praca organiczna, ruch spółdzielczy;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>opisuje formowanie się nowoczesnej świadomości narodowej Polaków.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19.</w:t>
            </w:r>
            <w:r>
              <w:tab/>
              <w:t>Autonomia w Galicji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XXIV.</w:t>
            </w:r>
            <w:r>
              <w:tab/>
              <w:t xml:space="preserve">Ziemie polskie pod zaborami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wyjaśnia cele i opisuje metody działań zaborców wobec mieszkańców ziem dawnej </w:t>
            </w:r>
            <w:r>
              <w:rPr>
                <w:vertAlign w:val="superscript"/>
              </w:rPr>
              <w:t>­</w:t>
            </w:r>
            <w:r>
              <w:t xml:space="preserve">Rzeczypospolitej – rusyfikacja, germanizacja (Kulturkampf), autonomia galicyjska;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rozróżnia postawy społeczeństwa polskiego w stosunku do zaborców – trójlojalizm, ­praca organiczna, ruch spółdzielczy;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>opisuje formowanie się nowoczesnej świadomości narodowej Polaków.</w:t>
            </w:r>
          </w:p>
        </w:tc>
      </w:tr>
      <w:tr w:rsidR="002A2C4D" w:rsidTr="00E537DB">
        <w:trPr>
          <w:trHeight w:val="60"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Bold" w:hAnsi="AgendaPl Bold" w:cs="AgendaPl Bold"/>
              </w:rPr>
              <w:t xml:space="preserve">Lekcja powtórzeniowa. Druga połowa XIX wieku </w:t>
            </w:r>
            <w:r>
              <w:rPr>
                <w:rFonts w:ascii="AgendaPl Regular" w:hAnsi="AgendaPl Regular" w:cs="AgendaPl Regular"/>
                <w:b w:val="0"/>
                <w:bCs w:val="0"/>
              </w:rPr>
              <w:t xml:space="preserve"> (tematy 14.–19.)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20.</w:t>
            </w:r>
            <w:r>
              <w:tab/>
              <w:t>Wynalazki przełomu XIX i XX wieku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53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rPr>
                <w:spacing w:val="-8"/>
              </w:rPr>
              <w:tab/>
              <w:t>XXIII.</w:t>
            </w:r>
            <w:r>
              <w:rPr>
                <w:spacing w:val="-8"/>
              </w:rPr>
              <w:tab/>
            </w:r>
            <w:r>
              <w:t xml:space="preserve">Europa i świat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wymienia nowe idee polityczne i zjawiska kulturowe, w tym początki kultury masowej i przemiany obyczajowe.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21.</w:t>
            </w:r>
            <w:r>
              <w:tab/>
              <w:t>Narodziny kultury masowej. Przemiany obyczajowe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XXIII.</w:t>
            </w:r>
            <w:r>
              <w:rPr>
                <w:spacing w:val="-5"/>
              </w:rPr>
              <w:tab/>
            </w:r>
            <w:r>
              <w:t>Europa i świat w II połowie XIX i na początku XX wieku. Uczeń: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wymienia nowe idee polityczne i zjawiska kulturowe, w tym początki kultury masowej i przemiany obyczajowe.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tab/>
              <w:t>22.</w:t>
            </w:r>
            <w:r>
              <w:tab/>
              <w:t>Masy wkraczają do polityki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XXIII.</w:t>
            </w:r>
            <w:r>
              <w:rPr>
                <w:spacing w:val="-5"/>
              </w:rPr>
              <w:tab/>
            </w:r>
            <w:r>
              <w:t>Europa i świat w II połowie XIX i na początku XX wieku. Uczeń: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wymienia nowe idee polityczne i zjawiska kulturowe, w tym początki kultury masowej i przemiany obyczajowe.</w:t>
            </w:r>
          </w:p>
        </w:tc>
      </w:tr>
      <w:tr w:rsidR="002A2C4D" w:rsidTr="00E537DB">
        <w:trPr>
          <w:trHeight w:val="996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23.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Partie polityczne na ziemiach polskich w XIX wieku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XXIV.</w:t>
            </w:r>
            <w:r>
              <w:rPr>
                <w:spacing w:val="-5"/>
              </w:rPr>
              <w:tab/>
            </w:r>
            <w:r>
              <w:t xml:space="preserve">Ziemie polskie pod zaborami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omawia narodziny i pierwsze lata istnienia nowoczesnych ruchów politycznych (socjalizm, ruch ludowy, ruch narodowy).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24.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 xml:space="preserve">Rewolucja 1905 roku w </w:t>
            </w:r>
            <w:proofErr w:type="spellStart"/>
            <w:r>
              <w:t>Rosjii</w:t>
            </w:r>
            <w:proofErr w:type="spellEnd"/>
            <w:r>
              <w:t xml:space="preserve"> w zaborze rosyjskim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XXIV.</w:t>
            </w:r>
            <w:r>
              <w:rPr>
                <w:spacing w:val="-5"/>
              </w:rPr>
              <w:tab/>
            </w:r>
            <w:r>
              <w:t xml:space="preserve">Ziemie polskie pod zaborami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lastRenderedPageBreak/>
              <w:t>5)</w:t>
            </w:r>
            <w:r>
              <w:tab/>
              <w:t>wyjaśnia społeczne i narodowe aspekty rewolucji w latach 1905–1907.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lastRenderedPageBreak/>
              <w:tab/>
              <w:t>25.</w:t>
            </w:r>
            <w:r>
              <w:tab/>
              <w:t>Powstanie trójprzymierza i trójporozumienia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XXV.</w:t>
            </w:r>
            <w:r>
              <w:tab/>
              <w:t xml:space="preserve">I wojna światowa.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omawia najważniejsze konflikty pomiędzy mocarstwami europejskimi na przełomie XIX i XX wieku;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>wymienia główne przyczyny wojny – polityczne i gospodarcze, pośrednie i bezpośrednie.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26.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Polacy wobec zbliżającej się wojny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XXIV.</w:t>
            </w:r>
            <w:r>
              <w:tab/>
              <w:t xml:space="preserve">Ziemie polskie pod zaborami w II połowie XIX i na początku XX wieku. Uczeń: </w:t>
            </w:r>
          </w:p>
          <w:p w:rsidR="002A2C4D" w:rsidRDefault="002A2C4D" w:rsidP="00301EF7">
            <w:pPr>
              <w:pStyle w:val="RMtabelatekst1"/>
            </w:pPr>
            <w:r>
              <w:t>6)</w:t>
            </w:r>
            <w:r>
              <w:tab/>
              <w:t>charakteryzuje spór orientacyjny w latach 1908–1914.</w:t>
            </w:r>
          </w:p>
        </w:tc>
      </w:tr>
      <w:tr w:rsidR="002A2C4D" w:rsidTr="00E537DB">
        <w:trPr>
          <w:trHeight w:val="1208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27.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Wielka wojna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XXV.</w:t>
            </w:r>
            <w:r>
              <w:tab/>
              <w:t xml:space="preserve">I wojna światowa. Uczeń: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 xml:space="preserve">omawia specyfikę działań wojennych: wojna pozycyjna, manewrowa, działania powietrzne i morskie; 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charakteryzuje postęp techniczny w okresie I wojny światowej.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28.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Rewolucja lutowa i przewrót bolszewicki w Rosji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XXV.</w:t>
            </w:r>
            <w:r>
              <w:tab/>
              <w:t>I wojna światowa. Uczeń</w:t>
            </w:r>
          </w:p>
          <w:p w:rsidR="002A2C4D" w:rsidRDefault="002A2C4D" w:rsidP="00301EF7">
            <w:pPr>
              <w:pStyle w:val="RMtabelatekst1"/>
            </w:pPr>
            <w:r>
              <w:t>5)</w:t>
            </w:r>
            <w:r>
              <w:tab/>
              <w:t>opisuje rewolucję i wojnę domową w Rosji.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29.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Sprawa polska w okresie I wojny światowej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XXVI.</w:t>
            </w:r>
            <w:r>
              <w:tab/>
              <w:t>Sprawa polska w czasie I wojny światowej. Uczeń: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charakteryzuje stosunek państw zaborczych do sprawy polskiej w przededniu i po wybuchu wojny;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omawia umiędzynarodowienie sprawy polskiej: akt 5 listopada 1916 r., rola Stanów Zjednoczonych i rewolucji rosyjskich, deklaracja z 3 czerwca 1918 r.;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>ocenia polski wysiłek zbrojny i dyplomatyczny, wymienia prace państwowotwórcze podczas wojny.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30.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Zakończenie I wojny światowej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XXV.</w:t>
            </w:r>
            <w:r>
              <w:tab/>
              <w:t>I wojna światowa. Uczeń:</w:t>
            </w:r>
          </w:p>
          <w:p w:rsidR="002A2C4D" w:rsidRDefault="002A2C4D" w:rsidP="00301EF7">
            <w:pPr>
              <w:pStyle w:val="RMtabelatekst1"/>
              <w:rPr>
                <w:spacing w:val="-2"/>
              </w:rPr>
            </w:pPr>
            <w:r>
              <w:rPr>
                <w:spacing w:val="-2"/>
              </w:rPr>
              <w:t>3)</w:t>
            </w:r>
            <w:r>
              <w:rPr>
                <w:spacing w:val="-2"/>
              </w:rPr>
              <w:tab/>
              <w:t xml:space="preserve">omawia specyfikę działań wojennych: wojna pozycyjna, manewrowa, działania powietrzne i morskie; 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charakteryzuje postęp techniczny w okresie I wojny światowej.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31.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Odzyskanie niepodległości przez Polskę w 1918 roku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10"/>
              </w:rPr>
              <w:t>XXVIII.</w:t>
            </w:r>
            <w:r>
              <w:rPr>
                <w:spacing w:val="-10"/>
              </w:rPr>
              <w:tab/>
            </w:r>
            <w:r>
              <w:t xml:space="preserve">Odrodzenie państwa </w:t>
            </w:r>
            <w:proofErr w:type="spellStart"/>
            <w:r>
              <w:t>poskiego</w:t>
            </w:r>
            <w:proofErr w:type="spellEnd"/>
            <w:r>
              <w:t xml:space="preserve">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>omawia formowanie się centralnego ośrodka władzy państwowej – od październikowej deklaracji Rady Regencyjnej do „Małej Konstytucji”.</w:t>
            </w:r>
          </w:p>
        </w:tc>
      </w:tr>
      <w:tr w:rsidR="002A2C4D" w:rsidTr="00E537DB">
        <w:trPr>
          <w:trHeight w:val="60"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Bold" w:hAnsi="AgendaPl Bold" w:cs="AgendaPl Bold"/>
              </w:rPr>
              <w:t>Lekcja powtórzeniowa. Przełom XIX i XX wieku. I wojna światowa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32.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Konferencja pokojowa w Paryżu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XXVII.</w:t>
            </w:r>
            <w:r>
              <w:rPr>
                <w:spacing w:val="-5"/>
              </w:rPr>
              <w:tab/>
            </w:r>
            <w:r>
              <w:t xml:space="preserve">Europa i świat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charakteryzuje postanowienia konferencji paryskiej oraz </w:t>
            </w:r>
            <w:r>
              <w:lastRenderedPageBreak/>
              <w:t>traktatu w Locarno; ocenia funkcjonowanie Ligi Narodów i ład wersalski.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lastRenderedPageBreak/>
              <w:tab/>
            </w:r>
            <w:r>
              <w:t>33.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Skutki cywilizacyjne i kulturowe wielkiej wojny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XXVII.</w:t>
            </w:r>
            <w:r>
              <w:rPr>
                <w:spacing w:val="-5"/>
              </w:rPr>
              <w:tab/>
            </w:r>
            <w:r>
              <w:t xml:space="preserve">Europa i świat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opisuje kulturowe i cywilizacyjne następstwa wojny;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>charakteryzuje postanowienia konferencji paryskiej oraz traktatu w Locarno; ocenia funkcjonowanie Ligi Narodów i ład wersalski.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34.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Związek Sowiecki pod władzą Stalina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XXVII.</w:t>
            </w:r>
            <w:r>
              <w:tab/>
              <w:t xml:space="preserve">Europa i świat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 xml:space="preserve">charakteryzuje oblicza totalitaryzmu (włoskiego faszyzmu, niemieckiego nazizmu, </w:t>
            </w:r>
            <w:r>
              <w:br/>
              <w:t>systemu sowieckiego): ideologię i praktykę.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35.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Narodziny faszyzmu we Włoszech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XXVII</w:t>
            </w:r>
            <w:r>
              <w:t>.</w:t>
            </w:r>
            <w:r>
              <w:tab/>
              <w:t xml:space="preserve">Europa i świat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 xml:space="preserve">charakteryzuje oblicza totalitaryzmu (włoskiego faszyzmu, niemieckiego nazizmu, </w:t>
            </w:r>
            <w:r>
              <w:br/>
              <w:t>systemu sowieckiego): ideologię i praktykę.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36.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Niemcy pod władzą Hitlera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XXVII.</w:t>
            </w:r>
            <w:r>
              <w:tab/>
              <w:t xml:space="preserve">Europa i świat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 xml:space="preserve">charakteryzuje oblicza totalitaryzmu (włoskiego faszyzmu, niemieckiego nazizmu, </w:t>
            </w:r>
            <w:r>
              <w:br/>
              <w:t>systemu sowieckiego): ideologię i praktykę.</w:t>
            </w:r>
          </w:p>
        </w:tc>
      </w:tr>
      <w:tr w:rsidR="002A2C4D" w:rsidTr="00E537DB">
        <w:trPr>
          <w:trHeight w:val="1758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37.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 xml:space="preserve">Świat u progu wojny 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  <w:ind w:left="510" w:hanging="510"/>
            </w:pPr>
            <w:r>
              <w:tab/>
            </w:r>
            <w:r>
              <w:rPr>
                <w:spacing w:val="-5"/>
              </w:rPr>
              <w:t>XXXI.</w:t>
            </w:r>
            <w:r>
              <w:tab/>
              <w:t xml:space="preserve">Droga do wojny.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omawia japońską agresję na Dalekim Wschodzie;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przedstawia ekspansję Włoch i wojnę domową w Hiszpanii;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 xml:space="preserve">opisuje politykę hitlerowskich Niemiec – rozbijanie systemu wersalsko-lokarneńskiego: od remilitaryzacji Nadrenii do układu w Monachium; 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>charakteryzuje politykę ustępstw Zachodu wobec Niemiec Hitlera.</w:t>
            </w:r>
          </w:p>
        </w:tc>
      </w:tr>
      <w:tr w:rsidR="002A2C4D" w:rsidTr="00E537DB">
        <w:trPr>
          <w:trHeight w:hRule="exact" w:val="510"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  <w:vAlign w:val="center"/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Bold" w:hAnsi="AgendaPl Bold" w:cs="AgendaPl Bold"/>
              </w:rPr>
              <w:t xml:space="preserve">Lekcja powtórzeniowa. </w:t>
            </w:r>
            <w:r>
              <w:t>Europa i świat po I wojnie światowej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38.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Walka o granice państwa polskiego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8"/>
              </w:rPr>
              <w:t>XXVIII</w:t>
            </w:r>
            <w:r>
              <w:rPr>
                <w:spacing w:val="-5"/>
              </w:rPr>
              <w:t>.</w:t>
            </w:r>
            <w:r>
              <w:rPr>
                <w:spacing w:val="-5"/>
              </w:rPr>
              <w:tab/>
            </w:r>
            <w:r>
              <w:t xml:space="preserve">Odrodzenie państwa polskiego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przedstawia proces wykuwania granic: wersalskie decyzje a fenomen Powstania Wielkopolskiego i powstań śląskich (zachód) – federacyjny dylemat a inkorporacyjny rezultat (wschód);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>opisuje wojnę polsko-bolszewicką i jej skutki (pokój ryski).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39.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Konstytucja marcowa i ustrój II Rzeczypospolitej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10"/>
              </w:rPr>
              <w:t>XXVIII</w:t>
            </w:r>
            <w:r>
              <w:rPr>
                <w:spacing w:val="-5"/>
              </w:rPr>
              <w:t>.</w:t>
            </w:r>
            <w:r>
              <w:rPr>
                <w:spacing w:val="-5"/>
              </w:rPr>
              <w:tab/>
            </w:r>
            <w:r>
              <w:t xml:space="preserve">Odrodzenie państwa polskiego po I wojnie światowej.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omawia formowanie się centralnego ośrodka władzy państwowej – od październikowej deklaracji Rady Regencyjnej do „Małej Konstytucji”; </w:t>
            </w:r>
          </w:p>
          <w:p w:rsidR="002A2C4D" w:rsidRDefault="002A2C4D" w:rsidP="00301EF7">
            <w:pPr>
              <w:pStyle w:val="RMtabelatekstliczba"/>
            </w:pPr>
            <w:r>
              <w:lastRenderedPageBreak/>
              <w:tab/>
            </w:r>
            <w:r>
              <w:rPr>
                <w:spacing w:val="-5"/>
              </w:rPr>
              <w:t>XXIX.</w:t>
            </w:r>
            <w:r>
              <w:rPr>
                <w:spacing w:val="-5"/>
              </w:rPr>
              <w:tab/>
            </w:r>
            <w:r>
              <w:t xml:space="preserve">II Rzeczpospolita w latach 1921–1939.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 xml:space="preserve">charakteryzuje skalę i skutki wojennych zniszczeń oraz dziedzictwa zaborowego;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>charakteryzuje ustrój polityczny Polski na podstawie konstytucji marcowej z 1921 roku.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lastRenderedPageBreak/>
              <w:tab/>
            </w:r>
            <w:r>
              <w:t>40.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Rządy autorytarne w Polsce 1926−1939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XXIX.</w:t>
            </w:r>
            <w:r>
              <w:rPr>
                <w:spacing w:val="-5"/>
              </w:rPr>
              <w:tab/>
            </w:r>
            <w:r>
              <w:t xml:space="preserve">II Rzeczpospolita w latach 1921–1939. Uczeń: </w:t>
            </w:r>
          </w:p>
          <w:p w:rsidR="002A2C4D" w:rsidRDefault="002A2C4D" w:rsidP="00301EF7">
            <w:pPr>
              <w:pStyle w:val="RMtabelatekst1"/>
            </w:pPr>
            <w:r>
              <w:t>4)</w:t>
            </w:r>
            <w:r>
              <w:tab/>
              <w:t xml:space="preserve">omawia kryzys demokracji parlamentarnej w Polsce – przyczyny, przebieg i skutki przewrotu majowego; </w:t>
            </w:r>
          </w:p>
          <w:p w:rsidR="002A2C4D" w:rsidRDefault="002A2C4D" w:rsidP="00301EF7">
            <w:pPr>
              <w:pStyle w:val="RMtabelatekst1"/>
            </w:pPr>
            <w:r>
              <w:t>5)</w:t>
            </w:r>
            <w:r>
              <w:tab/>
              <w:t xml:space="preserve">opisuje polski autorytaryzm – rządy sanacji, zmiany ustrojowe (konstytucja kwietniowa z 1935 roku); </w:t>
            </w:r>
          </w:p>
          <w:p w:rsidR="002A2C4D" w:rsidRDefault="002A2C4D" w:rsidP="00301EF7">
            <w:pPr>
              <w:pStyle w:val="RMtabelatekst1"/>
            </w:pPr>
            <w:r>
              <w:t>6)</w:t>
            </w:r>
            <w:r>
              <w:tab/>
              <w:t>przedstawia główne kierunki polityki zagranicznej II Rzeczypospolitej (system sojuszy i politykę równowagi).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41.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Społeczeństwo polskie w latach 1918−1939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>XXX.</w:t>
            </w:r>
            <w:r>
              <w:tab/>
              <w:t xml:space="preserve">Społeczeństwo i gospodarka II Rzeczypospolitej.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>charakteryzuje społeczną, narodowościową i wyznaniową strukturę państwa polskiego.</w:t>
            </w:r>
          </w:p>
          <w:p w:rsidR="002A2C4D" w:rsidRDefault="002A2C4D" w:rsidP="00301EF7">
            <w:pPr>
              <w:pStyle w:val="RMtabelatekst1"/>
            </w:pPr>
          </w:p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XXIX.</w:t>
            </w:r>
            <w:r>
              <w:rPr>
                <w:spacing w:val="-5"/>
              </w:rPr>
              <w:tab/>
            </w:r>
            <w:r>
              <w:t xml:space="preserve">II Rzeczypospolita w latach 1921–1939. Uczeń: </w:t>
            </w:r>
          </w:p>
          <w:p w:rsidR="002A2C4D" w:rsidRDefault="002A2C4D" w:rsidP="00301EF7">
            <w:pPr>
              <w:pStyle w:val="RMtabelatekst1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>charakteryzuje skalę i skutki wojennych zniszczeń oraz zaborowe dziedzictwo.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42.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Przemiany gospodarcze w Polsce</w:t>
            </w:r>
          </w:p>
          <w:p w:rsidR="002A2C4D" w:rsidRDefault="002A2C4D" w:rsidP="00301EF7">
            <w:pPr>
              <w:pStyle w:val="RMtabelaIkolumnatytulliczba"/>
            </w:pP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  <w:t>XXX.</w:t>
            </w:r>
            <w:r>
              <w:tab/>
              <w:t xml:space="preserve">Społeczeństwo i gospodarka II Rzeczypospolitej. Uczeń: </w:t>
            </w:r>
          </w:p>
          <w:p w:rsidR="002A2C4D" w:rsidRDefault="002A2C4D" w:rsidP="00301EF7">
            <w:pPr>
              <w:pStyle w:val="RMtabelatekst1"/>
            </w:pPr>
            <w:r>
              <w:t>2)</w:t>
            </w:r>
            <w:r>
              <w:tab/>
              <w:t xml:space="preserve">omawia skutki światowego kryzysu gospodarczego na ziemiach polskich; </w:t>
            </w:r>
          </w:p>
          <w:p w:rsidR="002A2C4D" w:rsidRDefault="002A2C4D" w:rsidP="00301EF7">
            <w:pPr>
              <w:pStyle w:val="RMtabelatekst1"/>
            </w:pPr>
            <w:r>
              <w:t>3)</w:t>
            </w:r>
            <w:r>
              <w:tab/>
              <w:t>ocenia osiągnięcia gospodarcze II Rzeczypospolitej, a zwłaszcza powstanie Gdyni, magistrali węglowej i Centralnego Okręgu Przemysłowego.</w:t>
            </w: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43.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Dorobek kulturalny polskiego dwudziestolecia</w:t>
            </w:r>
          </w:p>
          <w:p w:rsidR="002A2C4D" w:rsidRDefault="002A2C4D" w:rsidP="00301EF7">
            <w:pPr>
              <w:pStyle w:val="RMtabelaIkolumnatytulliczba"/>
            </w:pP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rPr>
                <w:spacing w:val="-5"/>
              </w:rPr>
              <w:t>XXIX.</w:t>
            </w:r>
            <w:r>
              <w:rPr>
                <w:spacing w:val="-5"/>
              </w:rPr>
              <w:tab/>
            </w:r>
            <w:r>
              <w:t xml:space="preserve">II Rzeczypospolita w latach 1921–1939. Uczeń: </w:t>
            </w:r>
          </w:p>
          <w:p w:rsidR="002A2C4D" w:rsidRDefault="002A2C4D" w:rsidP="00301EF7">
            <w:pPr>
              <w:pStyle w:val="RMtabelatekstliczba"/>
            </w:pPr>
            <w:r>
              <w:rPr>
                <w:rFonts w:ascii="Cambria Math" w:hAnsi="Cambria Math" w:cs="Cambria Math"/>
              </w:rPr>
              <w:t> </w:t>
            </w:r>
            <w:r>
              <w:t>1)</w:t>
            </w:r>
            <w:r>
              <w:tab/>
              <w:t>charakteryzuje skalę i skutki wojennych zniszczeń oraz zaborowe dziedzictwo</w:t>
            </w:r>
          </w:p>
          <w:p w:rsidR="002A2C4D" w:rsidRDefault="002A2C4D" w:rsidP="00301EF7">
            <w:pPr>
              <w:pStyle w:val="RMtabelatekstliczba"/>
            </w:pPr>
            <w:r>
              <w:t>XXX.</w:t>
            </w:r>
            <w:r>
              <w:tab/>
              <w:t>Społeczeństwo i gospodarka II Rzeczypospolitej. Uczeń:</w:t>
            </w:r>
          </w:p>
          <w:p w:rsidR="002A2C4D" w:rsidRDefault="002A2C4D" w:rsidP="00301EF7">
            <w:pPr>
              <w:pStyle w:val="RMtabelatekstliczba"/>
            </w:pPr>
            <w:r>
              <w:t>4)</w:t>
            </w:r>
            <w:r>
              <w:tab/>
              <w:t xml:space="preserve"> podaje najważniejsze osiągnięcia kulturalne i naukowe Polski w okresie międzywojennym.</w:t>
            </w:r>
            <w:r>
              <w:tab/>
            </w:r>
          </w:p>
          <w:p w:rsidR="002A2C4D" w:rsidRDefault="002A2C4D" w:rsidP="00301EF7">
            <w:pPr>
              <w:pStyle w:val="RMtabelatekst1"/>
            </w:pPr>
          </w:p>
        </w:tc>
      </w:tr>
      <w:tr w:rsidR="002A2C4D" w:rsidTr="00E537DB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44.</w:t>
            </w:r>
            <w:r>
              <w:rPr>
                <w:rFonts w:ascii="AgendaPl RegularCondensed" w:hAnsi="AgendaPl RegularCondensed" w:cs="AgendaPl RegularCondensed"/>
                <w:b w:val="0"/>
                <w:bCs w:val="0"/>
              </w:rPr>
              <w:tab/>
            </w:r>
            <w:r>
              <w:t>Polska polityka zagraniczna w latach 1918−1939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2A2C4D" w:rsidRDefault="002A2C4D" w:rsidP="00301EF7">
            <w:pPr>
              <w:pStyle w:val="RMtabelatekstliczba"/>
            </w:pPr>
            <w:r>
              <w:tab/>
            </w:r>
            <w:r>
              <w:rPr>
                <w:spacing w:val="-5"/>
              </w:rPr>
              <w:t>XXIX.</w:t>
            </w:r>
            <w:r>
              <w:rPr>
                <w:spacing w:val="-5"/>
              </w:rPr>
              <w:tab/>
            </w:r>
            <w:r>
              <w:t xml:space="preserve">II Rzeczpospolita w latach 1921–1939. Uczeń: </w:t>
            </w:r>
          </w:p>
          <w:p w:rsidR="002A2C4D" w:rsidRDefault="002A2C4D" w:rsidP="00301EF7">
            <w:pPr>
              <w:pStyle w:val="RMtabelatekst1"/>
            </w:pPr>
            <w:r>
              <w:t>5)</w:t>
            </w:r>
            <w:r>
              <w:tab/>
              <w:t>przedstawia główne kierunki polityki zagranicznej II Rzeczypospolitej (system sojuszy i politykę równowagi).</w:t>
            </w:r>
          </w:p>
          <w:p w:rsidR="002A2C4D" w:rsidRDefault="002A2C4D" w:rsidP="00301EF7">
            <w:pPr>
              <w:pStyle w:val="RMtabelatekst1"/>
            </w:pPr>
            <w:r>
              <w:t>.</w:t>
            </w:r>
          </w:p>
        </w:tc>
      </w:tr>
      <w:tr w:rsidR="002A2C4D" w:rsidTr="00E537DB">
        <w:trPr>
          <w:trHeight w:val="60"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2A2C4D" w:rsidRDefault="002A2C4D" w:rsidP="00301EF7">
            <w:pPr>
              <w:pStyle w:val="RMtabelaIkolumnatytulliczba"/>
            </w:pPr>
            <w:r>
              <w:rPr>
                <w:rFonts w:ascii="AgendaPl Bold" w:hAnsi="AgendaPl Bold" w:cs="AgendaPl Bold"/>
              </w:rPr>
              <w:t>Lekcja powtórzeniowa. Polska w dwudziestoleciu międzywojennym</w:t>
            </w:r>
          </w:p>
        </w:tc>
      </w:tr>
    </w:tbl>
    <w:p w:rsidR="002A2C4D" w:rsidRDefault="002A2C4D" w:rsidP="002A2C4D">
      <w:pPr>
        <w:pStyle w:val="NoParagraphStyle"/>
        <w:suppressAutoHyphens/>
        <w:rPr>
          <w:rFonts w:ascii="Times New Roman" w:hAnsi="Times New Roman" w:cs="Times New Roman"/>
        </w:rPr>
      </w:pPr>
    </w:p>
    <w:p w:rsidR="00983221" w:rsidRPr="00B70C6A" w:rsidRDefault="00983221" w:rsidP="00B70C6A"/>
    <w:sectPr w:rsidR="00983221" w:rsidRPr="00B70C6A" w:rsidSect="006B5810">
      <w:headerReference w:type="default" r:id="rId9"/>
      <w:footerReference w:type="default" r:id="rId10"/>
      <w:pgSz w:w="11906" w:h="16838"/>
      <w:pgMar w:top="1985" w:right="849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BB" w:rsidRDefault="00115DBB" w:rsidP="00285D6F">
      <w:pPr>
        <w:spacing w:after="0" w:line="240" w:lineRule="auto"/>
      </w:pPr>
      <w:r>
        <w:separator/>
      </w:r>
    </w:p>
  </w:endnote>
  <w:endnote w:type="continuationSeparator" w:id="0">
    <w:p w:rsidR="00115DBB" w:rsidRDefault="00115DB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daPl Regular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6F" w:rsidRDefault="00C539FF" w:rsidP="007B3CB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-2541</wp:posOffset>
              </wp:positionV>
              <wp:extent cx="6535420" cy="0"/>
              <wp:effectExtent l="0" t="0" r="1778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0.35pt,-.2pt" to="484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" strokecolor="#f09120" strokeweight="1.5pt">
              <o:lock v:ext="edit" shapetype="f"/>
            </v:line>
          </w:pict>
        </mc:Fallback>
      </mc:AlternateContent>
    </w:r>
    <w:r w:rsidR="006B5810" w:rsidRPr="009E0F62">
      <w:rPr>
        <w:b/>
        <w:color w:val="003892"/>
      </w:rPr>
      <w:t>AUTORZY</w:t>
    </w:r>
    <w:r w:rsidR="00285D6F" w:rsidRPr="009E0F62">
      <w:rPr>
        <w:b/>
        <w:color w:val="003892"/>
      </w:rPr>
      <w:t>:</w:t>
    </w:r>
    <w:r w:rsidR="00285D6F" w:rsidRPr="00285D6F">
      <w:rPr>
        <w:color w:val="003892"/>
      </w:rPr>
      <w:t xml:space="preserve"> </w:t>
    </w:r>
    <w:r w:rsidR="002A2C4D">
      <w:rPr>
        <w:color w:val="003892"/>
      </w:rPr>
      <w:t xml:space="preserve">Anita </w:t>
    </w:r>
    <w:proofErr w:type="spellStart"/>
    <w:r w:rsidR="002A2C4D">
      <w:rPr>
        <w:color w:val="003892"/>
      </w:rPr>
      <w:t>Plumińska</w:t>
    </w:r>
    <w:proofErr w:type="spellEnd"/>
    <w:r w:rsidR="002A2C4D">
      <w:rPr>
        <w:color w:val="003892"/>
      </w:rPr>
      <w:t>-Mieloch</w:t>
    </w:r>
  </w:p>
  <w:p w:rsidR="00285D6F" w:rsidRDefault="00C539FF" w:rsidP="00285D6F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113029</wp:posOffset>
              </wp:positionV>
              <wp:extent cx="6535420" cy="0"/>
              <wp:effectExtent l="0" t="0" r="17780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0.35pt,8.9pt" to="4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" strokecolor="black [3213]" strokeweight=".5pt">
              <o:lock v:ext="edit" shapetype="f"/>
            </v:line>
          </w:pict>
        </mc:Fallback>
      </mc:AlternateContent>
    </w:r>
  </w:p>
  <w:p w:rsidR="00285D6F" w:rsidRDefault="00E07B96" w:rsidP="00B76708">
    <w:pPr>
      <w:pStyle w:val="Stopka"/>
      <w:ind w:left="-1417"/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7068185" cy="3333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4" b="49806"/>
                  <a:stretch>
                    <a:fillRect/>
                  </a:stretch>
                </pic:blipFill>
                <pic:spPr bwMode="auto">
                  <a:xfrm>
                    <a:off x="0" y="0"/>
                    <a:ext cx="706818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221" w:rsidRDefault="00983221" w:rsidP="00983221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BC2547">
      <w:rPr>
        <w:noProof/>
      </w:rPr>
      <w:t>1</w:t>
    </w:r>
    <w:r>
      <w:fldChar w:fldCharType="end"/>
    </w:r>
  </w:p>
  <w:p w:rsidR="00983221" w:rsidRPr="00285D6F" w:rsidRDefault="00983221" w:rsidP="00983221">
    <w:pPr>
      <w:pStyle w:val="Stopka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BB" w:rsidRDefault="00115DBB" w:rsidP="00285D6F">
      <w:pPr>
        <w:spacing w:after="0" w:line="240" w:lineRule="auto"/>
      </w:pPr>
      <w:r>
        <w:separator/>
      </w:r>
    </w:p>
  </w:footnote>
  <w:footnote w:type="continuationSeparator" w:id="0">
    <w:p w:rsidR="00115DBB" w:rsidRDefault="00115DB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7E" w:rsidRDefault="00E07B96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B70C6A" w:rsidRPr="002A2C4D" w:rsidRDefault="002A2C4D" w:rsidP="00B70C6A">
    <w:pPr>
      <w:pStyle w:val="Nagwek"/>
      <w:tabs>
        <w:tab w:val="clear" w:pos="9072"/>
      </w:tabs>
      <w:ind w:left="142" w:right="-283"/>
      <w:rPr>
        <w:i/>
      </w:rPr>
    </w:pPr>
    <w:r>
      <w:rPr>
        <w:b/>
        <w:color w:val="F09120"/>
      </w:rPr>
      <w:t>Historia</w:t>
    </w:r>
    <w:r w:rsidR="00B70C6A">
      <w:t>| Klasa</w:t>
    </w:r>
    <w:r>
      <w:t xml:space="preserve"> 7</w:t>
    </w:r>
    <w:r w:rsidR="00B70C6A">
      <w:tab/>
      <w:t xml:space="preserve">  </w:t>
    </w:r>
    <w:r w:rsidR="00B70C6A">
      <w:tab/>
    </w:r>
    <w:r w:rsidR="00B70C6A">
      <w:tab/>
    </w:r>
    <w:r w:rsidR="00B70C6A">
      <w:tab/>
      <w:t xml:space="preserve"> </w:t>
    </w:r>
    <w:r>
      <w:tab/>
    </w:r>
    <w:r w:rsidRPr="002A2C4D">
      <w:rPr>
        <w:i/>
      </w:rPr>
      <w:t>Szkoła podstawowa 4−8</w:t>
    </w:r>
  </w:p>
  <w:p w:rsidR="00285D6F" w:rsidRDefault="00285D6F" w:rsidP="003B56FB">
    <w:pPr>
      <w:pStyle w:val="Nagwek"/>
      <w:tabs>
        <w:tab w:val="clear" w:pos="9072"/>
      </w:tabs>
      <w:ind w:righ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115DBB"/>
    <w:rsid w:val="001462E0"/>
    <w:rsid w:val="00245DA5"/>
    <w:rsid w:val="00285D6F"/>
    <w:rsid w:val="002A2C4D"/>
    <w:rsid w:val="002F1910"/>
    <w:rsid w:val="00301EF7"/>
    <w:rsid w:val="00317434"/>
    <w:rsid w:val="003572A4"/>
    <w:rsid w:val="00386984"/>
    <w:rsid w:val="003B56FB"/>
    <w:rsid w:val="003F722E"/>
    <w:rsid w:val="00435B7E"/>
    <w:rsid w:val="004545DD"/>
    <w:rsid w:val="004856B4"/>
    <w:rsid w:val="00602ABB"/>
    <w:rsid w:val="00672759"/>
    <w:rsid w:val="006B5810"/>
    <w:rsid w:val="006B7499"/>
    <w:rsid w:val="007B3CB5"/>
    <w:rsid w:val="00804E2A"/>
    <w:rsid w:val="008648E0"/>
    <w:rsid w:val="008C2636"/>
    <w:rsid w:val="00952DCB"/>
    <w:rsid w:val="00983221"/>
    <w:rsid w:val="009E0F62"/>
    <w:rsid w:val="00A139FC"/>
    <w:rsid w:val="00A5798A"/>
    <w:rsid w:val="00AA3ACA"/>
    <w:rsid w:val="00AC38B3"/>
    <w:rsid w:val="00B70C6A"/>
    <w:rsid w:val="00B76708"/>
    <w:rsid w:val="00BC2547"/>
    <w:rsid w:val="00C539FF"/>
    <w:rsid w:val="00DA27CB"/>
    <w:rsid w:val="00E07B96"/>
    <w:rsid w:val="00E537DB"/>
    <w:rsid w:val="00EB7212"/>
    <w:rsid w:val="00EC12C2"/>
    <w:rsid w:val="00F2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C4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85D6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85D6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  <w:rPr>
      <w:rFonts w:eastAsia="Times New Roman"/>
      <w:lang w:eastAsia="en-US"/>
    </w:r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</w:rPr>
  </w:style>
  <w:style w:type="character" w:customStyle="1" w:styleId="CondensedItalic">
    <w:name w:val="Condensed Italic"/>
    <w:uiPriority w:val="99"/>
    <w:rsid w:val="003B56FB"/>
    <w:rPr>
      <w:i/>
    </w:rPr>
  </w:style>
  <w:style w:type="paragraph" w:customStyle="1" w:styleId="NoParagraphStyle">
    <w:name w:val="[No Paragraph Style]"/>
    <w:rsid w:val="002A2C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2A2C4D"/>
    <w:pPr>
      <w:spacing w:line="240" w:lineRule="atLeast"/>
      <w:jc w:val="center"/>
    </w:pPr>
    <w:rPr>
      <w:rFonts w:ascii="AgendaPl Bold" w:hAnsi="AgendaPl Bold" w:cs="AgendaPl Bold"/>
      <w:b/>
      <w:bCs/>
      <w:color w:val="FF7F00"/>
      <w:sz w:val="48"/>
      <w:szCs w:val="48"/>
    </w:rPr>
  </w:style>
  <w:style w:type="paragraph" w:customStyle="1" w:styleId="100tabelaglowkaAdaminne">
    <w:name w:val="!100_tabela glowka (!Adam inne)"/>
    <w:basedOn w:val="NoParagraphStyle"/>
    <w:uiPriority w:val="99"/>
    <w:rsid w:val="002A2C4D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100tabelaglowkadrugirzadAdaminne">
    <w:name w:val="!100_tabela glowka drugi rzad (!Adam inne)"/>
    <w:basedOn w:val="NoParagraphStyle"/>
    <w:uiPriority w:val="99"/>
    <w:rsid w:val="002A2C4D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RMtabelaIkolumnatytulliczba">
    <w:name w:val="RM tabela_I kolumna_tytul + liczba"/>
    <w:basedOn w:val="NoParagraphStyle"/>
    <w:uiPriority w:val="99"/>
    <w:rsid w:val="002A2C4D"/>
    <w:pPr>
      <w:tabs>
        <w:tab w:val="right" w:pos="283"/>
        <w:tab w:val="left" w:pos="397"/>
      </w:tabs>
      <w:spacing w:line="255" w:lineRule="atLeast"/>
      <w:ind w:left="397" w:hanging="39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tekstliczba">
    <w:name w:val="RM tabela tekst liczba"/>
    <w:basedOn w:val="NoParagraphStyle"/>
    <w:uiPriority w:val="99"/>
    <w:rsid w:val="002A2C4D"/>
    <w:pPr>
      <w:tabs>
        <w:tab w:val="decimal" w:pos="386"/>
        <w:tab w:val="left" w:pos="454"/>
      </w:tabs>
      <w:spacing w:line="255" w:lineRule="atLeast"/>
      <w:ind w:left="454" w:hanging="454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RMtabelatekst1">
    <w:name w:val="RM tabela tekst 1)"/>
    <w:basedOn w:val="NoParagraphStyle"/>
    <w:uiPriority w:val="99"/>
    <w:rsid w:val="002A2C4D"/>
    <w:pPr>
      <w:tabs>
        <w:tab w:val="left" w:pos="624"/>
      </w:tabs>
      <w:spacing w:line="255" w:lineRule="atLeast"/>
      <w:ind w:left="624" w:hanging="170"/>
      <w:jc w:val="both"/>
    </w:pPr>
    <w:rPr>
      <w:rFonts w:ascii="AgendaPl RegularCondensed" w:hAnsi="AgendaPl RegularCondensed" w:cs="AgendaPl RegularCondense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C4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85D6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85D6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  <w:rPr>
      <w:rFonts w:eastAsia="Times New Roman"/>
      <w:lang w:eastAsia="en-US"/>
    </w:r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</w:rPr>
  </w:style>
  <w:style w:type="character" w:customStyle="1" w:styleId="CondensedItalic">
    <w:name w:val="Condensed Italic"/>
    <w:uiPriority w:val="99"/>
    <w:rsid w:val="003B56FB"/>
    <w:rPr>
      <w:i/>
    </w:rPr>
  </w:style>
  <w:style w:type="paragraph" w:customStyle="1" w:styleId="NoParagraphStyle">
    <w:name w:val="[No Paragraph Style]"/>
    <w:rsid w:val="002A2C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2A2C4D"/>
    <w:pPr>
      <w:spacing w:line="240" w:lineRule="atLeast"/>
      <w:jc w:val="center"/>
    </w:pPr>
    <w:rPr>
      <w:rFonts w:ascii="AgendaPl Bold" w:hAnsi="AgendaPl Bold" w:cs="AgendaPl Bold"/>
      <w:b/>
      <w:bCs/>
      <w:color w:val="FF7F00"/>
      <w:sz w:val="48"/>
      <w:szCs w:val="48"/>
    </w:rPr>
  </w:style>
  <w:style w:type="paragraph" w:customStyle="1" w:styleId="100tabelaglowkaAdaminne">
    <w:name w:val="!100_tabela glowka (!Adam inne)"/>
    <w:basedOn w:val="NoParagraphStyle"/>
    <w:uiPriority w:val="99"/>
    <w:rsid w:val="002A2C4D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100tabelaglowkadrugirzadAdaminne">
    <w:name w:val="!100_tabela glowka drugi rzad (!Adam inne)"/>
    <w:basedOn w:val="NoParagraphStyle"/>
    <w:uiPriority w:val="99"/>
    <w:rsid w:val="002A2C4D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RMtabelaIkolumnatytulliczba">
    <w:name w:val="RM tabela_I kolumna_tytul + liczba"/>
    <w:basedOn w:val="NoParagraphStyle"/>
    <w:uiPriority w:val="99"/>
    <w:rsid w:val="002A2C4D"/>
    <w:pPr>
      <w:tabs>
        <w:tab w:val="right" w:pos="283"/>
        <w:tab w:val="left" w:pos="397"/>
      </w:tabs>
      <w:spacing w:line="255" w:lineRule="atLeast"/>
      <w:ind w:left="397" w:hanging="39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tekstliczba">
    <w:name w:val="RM tabela tekst liczba"/>
    <w:basedOn w:val="NoParagraphStyle"/>
    <w:uiPriority w:val="99"/>
    <w:rsid w:val="002A2C4D"/>
    <w:pPr>
      <w:tabs>
        <w:tab w:val="decimal" w:pos="386"/>
        <w:tab w:val="left" w:pos="454"/>
      </w:tabs>
      <w:spacing w:line="255" w:lineRule="atLeast"/>
      <w:ind w:left="454" w:hanging="454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RMtabelatekst1">
    <w:name w:val="RM tabela tekst 1)"/>
    <w:basedOn w:val="NoParagraphStyle"/>
    <w:uiPriority w:val="99"/>
    <w:rsid w:val="002A2C4D"/>
    <w:pPr>
      <w:tabs>
        <w:tab w:val="left" w:pos="624"/>
      </w:tabs>
      <w:spacing w:line="255" w:lineRule="atLeast"/>
      <w:ind w:left="624" w:hanging="170"/>
      <w:jc w:val="both"/>
    </w:pPr>
    <w:rPr>
      <w:rFonts w:ascii="AgendaPl RegularCondensed" w:hAnsi="AgendaPl RegularCondensed" w:cs="AgendaPl RegularCondense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C751-8F78-4E28-B2A4-5505EED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1726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uczen</cp:lastModifiedBy>
  <cp:revision>2</cp:revision>
  <dcterms:created xsi:type="dcterms:W3CDTF">2024-09-04T11:15:00Z</dcterms:created>
  <dcterms:modified xsi:type="dcterms:W3CDTF">2024-09-04T11:15:00Z</dcterms:modified>
</cp:coreProperties>
</file>