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5E781" w14:textId="77777777" w:rsidR="00F57C7A" w:rsidRPr="00231DC1" w:rsidRDefault="00F57C7A" w:rsidP="00F57C7A">
      <w:pPr>
        <w:pStyle w:val="007PODSTAWAtytul"/>
        <w:spacing w:line="240" w:lineRule="auto"/>
        <w:jc w:val="left"/>
        <w:rPr>
          <w:rFonts w:asciiTheme="minorHAnsi" w:hAnsiTheme="minorHAnsi"/>
          <w:sz w:val="44"/>
          <w:szCs w:val="28"/>
        </w:rPr>
      </w:pPr>
      <w:bookmarkStart w:id="0" w:name="_GoBack"/>
      <w:bookmarkEnd w:id="0"/>
      <w:r w:rsidRPr="00231DC1">
        <w:rPr>
          <w:rFonts w:asciiTheme="minorHAnsi" w:hAnsiTheme="minorHAnsi" w:cs="AgendaPl Bold CE"/>
          <w:sz w:val="44"/>
          <w:szCs w:val="28"/>
        </w:rPr>
        <w:t>Rozkład materiału</w:t>
      </w:r>
    </w:p>
    <w:p w14:paraId="2E2F1416" w14:textId="77777777" w:rsidR="00F57C7A" w:rsidRDefault="00F57C7A" w:rsidP="00F57C7A">
      <w:pPr>
        <w:spacing w:after="0" w:line="240" w:lineRule="auto"/>
        <w:rPr>
          <w:rFonts w:cs="Arial"/>
          <w:sz w:val="20"/>
          <w:szCs w:val="20"/>
        </w:rPr>
      </w:pPr>
    </w:p>
    <w:p w14:paraId="5F2249C3" w14:textId="77777777" w:rsidR="00231DC1" w:rsidRPr="000E4D47" w:rsidRDefault="00231DC1" w:rsidP="00F57C7A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701"/>
      </w:tblGrid>
      <w:tr w:rsidR="00F57C7A" w:rsidRPr="000E4D47" w14:paraId="47809DFA" w14:textId="77777777" w:rsidTr="009C663B">
        <w:trPr>
          <w:cantSplit/>
          <w:tblHeader/>
        </w:trPr>
        <w:tc>
          <w:tcPr>
            <w:tcW w:w="2518" w:type="dxa"/>
            <w:shd w:val="clear" w:color="auto" w:fill="F79646" w:themeFill="accent6"/>
            <w:vAlign w:val="center"/>
          </w:tcPr>
          <w:p w14:paraId="41749967" w14:textId="77777777" w:rsidR="00F57C7A" w:rsidRPr="000E4D47" w:rsidRDefault="00F57C7A" w:rsidP="00E9675A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0E4D47">
              <w:rPr>
                <w:rFonts w:cs="Arial"/>
                <w:b/>
                <w:sz w:val="24"/>
                <w:szCs w:val="24"/>
              </w:rPr>
              <w:t>Temat lekcji</w:t>
            </w:r>
          </w:p>
        </w:tc>
        <w:tc>
          <w:tcPr>
            <w:tcW w:w="6701" w:type="dxa"/>
            <w:shd w:val="clear" w:color="auto" w:fill="F79646" w:themeFill="accent6"/>
            <w:vAlign w:val="center"/>
          </w:tcPr>
          <w:p w14:paraId="312DDCE9" w14:textId="77777777" w:rsidR="00F57C7A" w:rsidRPr="000E4D47" w:rsidRDefault="00F57C7A" w:rsidP="00E9675A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0E4D47">
              <w:rPr>
                <w:rFonts w:cs="Arial"/>
                <w:b/>
                <w:sz w:val="24"/>
                <w:szCs w:val="24"/>
              </w:rPr>
              <w:t>Zapisy z podstawy programowej</w:t>
            </w:r>
          </w:p>
        </w:tc>
      </w:tr>
      <w:tr w:rsidR="00F57C7A" w:rsidRPr="000E4D47" w14:paraId="2EBE7F3E" w14:textId="77777777" w:rsidTr="009C663B">
        <w:trPr>
          <w:cantSplit/>
        </w:trPr>
        <w:tc>
          <w:tcPr>
            <w:tcW w:w="9219" w:type="dxa"/>
            <w:gridSpan w:val="2"/>
            <w:shd w:val="clear" w:color="auto" w:fill="548DD4" w:themeFill="text2" w:themeFillTint="99"/>
          </w:tcPr>
          <w:p w14:paraId="2C3956AA" w14:textId="77777777" w:rsidR="00F57C7A" w:rsidRPr="000E4D47" w:rsidRDefault="00F57C7A" w:rsidP="00231DC1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Cs w:val="20"/>
              </w:rPr>
              <w:t xml:space="preserve">Dział I. </w:t>
            </w:r>
            <w:r w:rsidRPr="000E4D47">
              <w:rPr>
                <w:rFonts w:cs="Arial"/>
                <w:b/>
                <w:bCs/>
                <w:szCs w:val="20"/>
              </w:rPr>
              <w:t>Człowiek, grupy społeczne</w:t>
            </w:r>
            <w:r w:rsidR="00231DC1">
              <w:rPr>
                <w:rFonts w:cs="Arial"/>
                <w:b/>
                <w:bCs/>
                <w:szCs w:val="20"/>
              </w:rPr>
              <w:t>, rodzina</w:t>
            </w:r>
          </w:p>
        </w:tc>
      </w:tr>
      <w:tr w:rsidR="00F57C7A" w:rsidRPr="000E4D47" w14:paraId="585CAA6B" w14:textId="77777777" w:rsidTr="009C663B">
        <w:trPr>
          <w:cantSplit/>
        </w:trPr>
        <w:tc>
          <w:tcPr>
            <w:tcW w:w="2518" w:type="dxa"/>
            <w:vAlign w:val="center"/>
          </w:tcPr>
          <w:p w14:paraId="5D242BF0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1. Człowiekiem jestem...</w:t>
            </w:r>
          </w:p>
          <w:p w14:paraId="4FB67BCA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701" w:type="dxa"/>
          </w:tcPr>
          <w:p w14:paraId="26B7D9EA" w14:textId="77777777" w:rsidR="00F57C7A" w:rsidRPr="000E4D47" w:rsidRDefault="00F57C7A" w:rsidP="00E9675A">
            <w:pPr>
              <w:rPr>
                <w:rFonts w:cs="Arial"/>
                <w:sz w:val="20"/>
                <w:szCs w:val="20"/>
              </w:rPr>
            </w:pPr>
            <w:r w:rsidRPr="000E4D47">
              <w:rPr>
                <w:rFonts w:cs="Arial"/>
                <w:sz w:val="20"/>
                <w:szCs w:val="20"/>
              </w:rPr>
              <w:t>I. Społeczna natura człowieka. Uczeń:</w:t>
            </w:r>
          </w:p>
          <w:p w14:paraId="1BD51393" w14:textId="5E1BC522" w:rsidR="00F57C7A" w:rsidRPr="000E4D47" w:rsidRDefault="009C663B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podaje przykłady trudnych społecznie sytuacji, w których należy zachować się asertywnie; uzasadnia, że można zachować dystans wobec nieaprobowanych przez siebie zachowań innych ludzi lub przeciwstawić się im</w:t>
            </w:r>
          </w:p>
        </w:tc>
      </w:tr>
      <w:tr w:rsidR="00F57C7A" w:rsidRPr="000E4D47" w14:paraId="4158C653" w14:textId="77777777" w:rsidTr="009C663B">
        <w:trPr>
          <w:cantSplit/>
        </w:trPr>
        <w:tc>
          <w:tcPr>
            <w:tcW w:w="2518" w:type="dxa"/>
            <w:vAlign w:val="center"/>
          </w:tcPr>
          <w:p w14:paraId="7602B7AA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2. Człowiek jako istota społeczna</w:t>
            </w:r>
          </w:p>
        </w:tc>
        <w:tc>
          <w:tcPr>
            <w:tcW w:w="6701" w:type="dxa"/>
          </w:tcPr>
          <w:p w14:paraId="614CEB11" w14:textId="77777777" w:rsidR="00F57C7A" w:rsidRPr="000E4D47" w:rsidRDefault="00F57C7A" w:rsidP="00E9675A">
            <w:pPr>
              <w:rPr>
                <w:rFonts w:cs="Arial"/>
                <w:sz w:val="20"/>
                <w:szCs w:val="20"/>
              </w:rPr>
            </w:pPr>
            <w:r w:rsidRPr="000E4D47">
              <w:rPr>
                <w:rFonts w:cs="Arial"/>
                <w:sz w:val="20"/>
                <w:szCs w:val="20"/>
              </w:rPr>
              <w:t>I. Społeczna natura człowieka. Uczeń:</w:t>
            </w:r>
          </w:p>
          <w:p w14:paraId="5EE2E42F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uzasadnia, że człowiek jest istotą społeczną; wyjaśnia znaczenie potrzeb społecznych człowieka (kontaktu, przynależności, uznania)</w:t>
            </w:r>
          </w:p>
        </w:tc>
      </w:tr>
      <w:tr w:rsidR="00F57C7A" w:rsidRPr="000E4D47" w14:paraId="3CCF92BF" w14:textId="77777777" w:rsidTr="009C663B">
        <w:trPr>
          <w:cantSplit/>
        </w:trPr>
        <w:tc>
          <w:tcPr>
            <w:tcW w:w="2518" w:type="dxa"/>
            <w:vAlign w:val="center"/>
          </w:tcPr>
          <w:p w14:paraId="05BD4389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3. Zbiorowości i grupy społeczne</w:t>
            </w:r>
          </w:p>
        </w:tc>
        <w:tc>
          <w:tcPr>
            <w:tcW w:w="6701" w:type="dxa"/>
          </w:tcPr>
          <w:p w14:paraId="48D48907" w14:textId="77777777" w:rsidR="00F57C7A" w:rsidRPr="000E4D47" w:rsidRDefault="00F57C7A" w:rsidP="00E9675A">
            <w:pPr>
              <w:rPr>
                <w:rFonts w:cs="Arial"/>
                <w:sz w:val="20"/>
                <w:szCs w:val="20"/>
              </w:rPr>
            </w:pPr>
            <w:r w:rsidRPr="000E4D47">
              <w:rPr>
                <w:rFonts w:cs="Arial"/>
                <w:sz w:val="20"/>
                <w:szCs w:val="20"/>
              </w:rPr>
              <w:t>I. Społeczna natura człowieka. Uczeń:</w:t>
            </w:r>
          </w:p>
          <w:p w14:paraId="1C99BC78" w14:textId="7A08BD5E" w:rsidR="00F57C7A" w:rsidRPr="000E4D47" w:rsidRDefault="009C663B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wymienia cechy grup społecznych; charakteryzuje grupę koleżeńską i grupę nastawioną na realizację określonego zadania; uzasadnia, że efektywna współpraca przynosi różne korzyści</w:t>
            </w:r>
          </w:p>
          <w:p w14:paraId="50E002C9" w14:textId="3D369880" w:rsidR="00F57C7A" w:rsidRPr="000E4D47" w:rsidRDefault="009C663B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rozpoznaje sytuacje wymagające podjęcia decyzji indywidualnej i grupowej; wyjaśnia i stosuje podstawowe sposoby podejmowania wspólnych decyzji</w:t>
            </w:r>
          </w:p>
          <w:p w14:paraId="3CD7C5E4" w14:textId="7AC61503" w:rsidR="00F57C7A" w:rsidRPr="000E4D47" w:rsidRDefault="009C663B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uzasadnia, że konflikt w grupie może wynikać z różnych przyczyn (sprzeczne interesy, inne cele); przedstawia sposoby rozwiązywania konfliktów oraz analizuje ich zalety i wady</w:t>
            </w:r>
          </w:p>
        </w:tc>
      </w:tr>
      <w:tr w:rsidR="00F57C7A" w:rsidRPr="000E4D47" w14:paraId="3C8B0349" w14:textId="77777777" w:rsidTr="009C663B">
        <w:trPr>
          <w:cantSplit/>
        </w:trPr>
        <w:tc>
          <w:tcPr>
            <w:tcW w:w="2518" w:type="dxa"/>
            <w:vAlign w:val="center"/>
          </w:tcPr>
          <w:p w14:paraId="023D77D7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4. Rodzina jako najważniejsza grupa społeczna</w:t>
            </w:r>
          </w:p>
        </w:tc>
        <w:tc>
          <w:tcPr>
            <w:tcW w:w="6701" w:type="dxa"/>
          </w:tcPr>
          <w:p w14:paraId="0B2B2D6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II. Rodzina. Uczeń:</w:t>
            </w:r>
          </w:p>
          <w:p w14:paraId="1279880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charakteryzuje rodzinę jako grupę społecz</w:t>
            </w:r>
            <w:r w:rsidR="00231DC1">
              <w:rPr>
                <w:rFonts w:eastAsia="Times New Roman" w:cs="Arial"/>
                <w:sz w:val="20"/>
                <w:szCs w:val="20"/>
              </w:rPr>
              <w:t>ną; przedstawia rolę rodziców i </w:t>
            </w:r>
            <w:r w:rsidRPr="000E4D47">
              <w:rPr>
                <w:rFonts w:eastAsia="Times New Roman" w:cs="Arial"/>
                <w:sz w:val="20"/>
                <w:szCs w:val="20"/>
              </w:rPr>
              <w:t>osób starszych w rodzinie; analizuje wartości ważne dla jego rodziny</w:t>
            </w:r>
          </w:p>
          <w:p w14:paraId="5B6493E8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analizuje wpływ, jaki rodzina wywiera</w:t>
            </w:r>
            <w:r w:rsidR="00231DC1">
              <w:rPr>
                <w:rFonts w:eastAsia="Times New Roman" w:cs="Arial"/>
                <w:sz w:val="20"/>
                <w:szCs w:val="20"/>
              </w:rPr>
              <w:t xml:space="preserve"> na dzieci; przedstawia prawa i </w:t>
            </w:r>
            <w:r w:rsidRPr="000E4D47">
              <w:rPr>
                <w:rFonts w:eastAsia="Times New Roman" w:cs="Arial"/>
                <w:sz w:val="20"/>
                <w:szCs w:val="20"/>
              </w:rPr>
              <w:t>obowiązki dzieci w rodzinie</w:t>
            </w:r>
          </w:p>
        </w:tc>
      </w:tr>
      <w:tr w:rsidR="00F57C7A" w:rsidRPr="000E4D47" w14:paraId="716B7B41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3C09DB24" w14:textId="77777777" w:rsidR="00F57C7A" w:rsidRPr="000E4D47" w:rsidRDefault="00F57C7A" w:rsidP="00231DC1">
            <w:pPr>
              <w:ind w:left="284" w:hanging="284"/>
              <w:rPr>
                <w:rFonts w:eastAsia="Calibri" w:cs="Arial"/>
                <w:b/>
                <w:sz w:val="20"/>
                <w:szCs w:val="20"/>
              </w:rPr>
            </w:pPr>
            <w:r w:rsidRPr="000E4D47">
              <w:rPr>
                <w:rFonts w:eastAsia="Calibri" w:cs="Arial"/>
                <w:b/>
                <w:sz w:val="20"/>
                <w:szCs w:val="20"/>
              </w:rPr>
              <w:t>5. Jak funkcjonują gospodarstwa domowe, budżet domowy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6128C2D3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II. Rodzina. Uczeń:</w:t>
            </w:r>
          </w:p>
          <w:p w14:paraId="37848191" w14:textId="14E2B1C0" w:rsidR="00F57C7A" w:rsidRPr="000E4D47" w:rsidRDefault="00F57C7A" w:rsidP="009C663B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wyjaśnia, jak funkcjonuje gospodarstwo domowe; wymienia główne źródła jego dochodów</w:t>
            </w:r>
            <w:r w:rsidR="009C663B">
              <w:rPr>
                <w:rFonts w:eastAsia="Times New Roman" w:cs="Arial"/>
                <w:sz w:val="20"/>
                <w:szCs w:val="20"/>
              </w:rPr>
              <w:t xml:space="preserve"> i</w:t>
            </w:r>
            <w:r w:rsidRPr="000E4D47">
              <w:rPr>
                <w:rFonts w:eastAsia="Times New Roman" w:cs="Arial"/>
                <w:sz w:val="20"/>
                <w:szCs w:val="20"/>
              </w:rPr>
              <w:t xml:space="preserve"> kategorie wydatków gospodarstwa domowego</w:t>
            </w:r>
            <w:r w:rsidR="0082770B">
              <w:rPr>
                <w:rFonts w:eastAsia="Times New Roman" w:cs="Arial"/>
                <w:sz w:val="20"/>
                <w:szCs w:val="20"/>
              </w:rPr>
              <w:t>,</w:t>
            </w:r>
            <w:r w:rsidRPr="000E4D47">
              <w:rPr>
                <w:rFonts w:eastAsia="Times New Roman" w:cs="Arial"/>
                <w:sz w:val="20"/>
                <w:szCs w:val="20"/>
              </w:rPr>
              <w:t xml:space="preserve"> planuje jego budżet</w:t>
            </w:r>
          </w:p>
        </w:tc>
      </w:tr>
      <w:tr w:rsidR="00F57C7A" w:rsidRPr="000E4D47" w14:paraId="6A824D89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</w:tcPr>
          <w:p w14:paraId="436455D0" w14:textId="77777777" w:rsidR="00F57C7A" w:rsidRPr="000E4D47" w:rsidRDefault="00F57C7A" w:rsidP="00231DC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Lekcja powtórzeniowa. </w:t>
            </w:r>
            <w:r w:rsidRPr="000E4D47">
              <w:rPr>
                <w:rFonts w:cs="Arial"/>
                <w:b/>
                <w:bCs/>
                <w:sz w:val="20"/>
                <w:szCs w:val="20"/>
              </w:rPr>
              <w:t xml:space="preserve">Człowiek, </w:t>
            </w:r>
            <w:r w:rsidR="00231DC1">
              <w:rPr>
                <w:rFonts w:cs="Arial"/>
                <w:b/>
                <w:bCs/>
                <w:sz w:val="20"/>
                <w:szCs w:val="20"/>
              </w:rPr>
              <w:t>grupy społeczne</w:t>
            </w:r>
            <w:r w:rsidRPr="000E4D47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="00231DC1">
              <w:rPr>
                <w:rFonts w:cs="Arial"/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7B3CE74C" w14:textId="77777777" w:rsidR="00F57C7A" w:rsidRPr="000E4D47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57C7A" w:rsidRPr="00231DC1" w14:paraId="34DCB5CA" w14:textId="77777777" w:rsidTr="009C663B">
        <w:trPr>
          <w:cantSplit/>
        </w:trPr>
        <w:tc>
          <w:tcPr>
            <w:tcW w:w="9219" w:type="dxa"/>
            <w:gridSpan w:val="2"/>
            <w:shd w:val="clear" w:color="auto" w:fill="548DD4" w:themeFill="text2" w:themeFillTint="99"/>
          </w:tcPr>
          <w:p w14:paraId="23E57596" w14:textId="77777777" w:rsidR="00F57C7A" w:rsidRPr="00231DC1" w:rsidRDefault="00F57C7A" w:rsidP="00231DC1">
            <w:pPr>
              <w:spacing w:before="120" w:after="120"/>
              <w:ind w:left="284" w:hanging="284"/>
              <w:jc w:val="center"/>
              <w:rPr>
                <w:rFonts w:cs="Arial"/>
                <w:b/>
                <w:szCs w:val="20"/>
              </w:rPr>
            </w:pPr>
            <w:r w:rsidRPr="00231DC1">
              <w:rPr>
                <w:rFonts w:cs="Arial"/>
                <w:b/>
                <w:szCs w:val="20"/>
              </w:rPr>
              <w:t>Dział II. Społeczność szkolna, lokalna i regionalna</w:t>
            </w:r>
          </w:p>
        </w:tc>
      </w:tr>
      <w:tr w:rsidR="00F57C7A" w:rsidRPr="000E4D47" w14:paraId="7F11D915" w14:textId="77777777" w:rsidTr="009C663B">
        <w:trPr>
          <w:cantSplit/>
        </w:trPr>
        <w:tc>
          <w:tcPr>
            <w:tcW w:w="2518" w:type="dxa"/>
            <w:vAlign w:val="center"/>
          </w:tcPr>
          <w:p w14:paraId="1236C600" w14:textId="3D698718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6. Samorząd </w:t>
            </w:r>
            <w:r w:rsidR="00CB513D">
              <w:rPr>
                <w:rFonts w:cs="Arial"/>
                <w:b/>
                <w:sz w:val="20"/>
                <w:szCs w:val="20"/>
              </w:rPr>
              <w:t>szkolny</w:t>
            </w:r>
          </w:p>
        </w:tc>
        <w:tc>
          <w:tcPr>
            <w:tcW w:w="6701" w:type="dxa"/>
          </w:tcPr>
          <w:p w14:paraId="5A56A9A4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III. Szkoła i edukacja. Uczeń:</w:t>
            </w:r>
          </w:p>
          <w:p w14:paraId="49B6E8E5" w14:textId="50B2D3F2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przedstawia funkcje szkoły</w:t>
            </w:r>
          </w:p>
          <w:p w14:paraId="09117DC0" w14:textId="38544DEA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charakteryzuje klasę szkolną, , życie szkolnej społeczności; przedstawia działania samorządu uczniowskiego</w:t>
            </w:r>
          </w:p>
        </w:tc>
      </w:tr>
      <w:tr w:rsidR="00F57C7A" w:rsidRPr="000E4D47" w14:paraId="3B8CB308" w14:textId="77777777" w:rsidTr="009C663B">
        <w:trPr>
          <w:cantSplit/>
        </w:trPr>
        <w:tc>
          <w:tcPr>
            <w:tcW w:w="2518" w:type="dxa"/>
            <w:vAlign w:val="center"/>
          </w:tcPr>
          <w:p w14:paraId="6AC1EC85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7. Prawa i obowiązki ucznia</w:t>
            </w:r>
          </w:p>
        </w:tc>
        <w:tc>
          <w:tcPr>
            <w:tcW w:w="6701" w:type="dxa"/>
          </w:tcPr>
          <w:p w14:paraId="2C9B87C1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III. Szkoła i edukacja. Uczeń:</w:t>
            </w:r>
          </w:p>
          <w:p w14:paraId="65B3BDFE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wymienia prawa i obowiązki ucznia; rozpoznaje przypadki naruszania praw uczniów oraz pracowników szkoły; przedstawia sposoby dochodzenia praw, które zostały naruszone</w:t>
            </w:r>
          </w:p>
        </w:tc>
      </w:tr>
      <w:tr w:rsidR="00F57C7A" w:rsidRPr="000E4D47" w14:paraId="3D8D9801" w14:textId="77777777" w:rsidTr="009C663B">
        <w:trPr>
          <w:cantSplit/>
        </w:trPr>
        <w:tc>
          <w:tcPr>
            <w:tcW w:w="2518" w:type="dxa"/>
            <w:vAlign w:val="center"/>
          </w:tcPr>
          <w:p w14:paraId="0EB097D3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lastRenderedPageBreak/>
              <w:t>9. Moje miejsce na ziemi</w:t>
            </w:r>
          </w:p>
        </w:tc>
        <w:tc>
          <w:tcPr>
            <w:tcW w:w="6701" w:type="dxa"/>
          </w:tcPr>
          <w:p w14:paraId="27BD3CC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VI. Społeczność lokalna. Uczeń:</w:t>
            </w:r>
          </w:p>
          <w:p w14:paraId="21D1E1A2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5) znajduje i przedstawia informacje na temat swojej gminy, wydarzeń i postaci z jej dziejów</w:t>
            </w:r>
          </w:p>
          <w:p w14:paraId="0BC9CBF0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VII. Społeczność regionalna. Uczeń:</w:t>
            </w:r>
          </w:p>
          <w:p w14:paraId="57A15F9F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znajduje i przedstawia podstawowe informacje o swoim regionie, wydarzenia i postaci z jego dziejów; lokalizuje własne województwo i powiaty wchodzące w jego skład oraz pozostałe województwa</w:t>
            </w:r>
          </w:p>
          <w:p w14:paraId="64DE41C2" w14:textId="7159612A" w:rsidR="00F57C7A" w:rsidRPr="000E4D47" w:rsidRDefault="0082770B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przedstawia tradycje i zwyczaje swojej społeczności regionalnej</w:t>
            </w:r>
          </w:p>
        </w:tc>
      </w:tr>
      <w:tr w:rsidR="00F57C7A" w:rsidRPr="000E4D47" w14:paraId="7FDDC709" w14:textId="77777777" w:rsidTr="009C663B">
        <w:trPr>
          <w:cantSplit/>
        </w:trPr>
        <w:tc>
          <w:tcPr>
            <w:tcW w:w="2518" w:type="dxa"/>
            <w:vAlign w:val="center"/>
          </w:tcPr>
          <w:p w14:paraId="7C0D20BF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10. Samorządy terytorialne, lokalne i regionalne </w:t>
            </w:r>
          </w:p>
        </w:tc>
        <w:tc>
          <w:tcPr>
            <w:tcW w:w="6701" w:type="dxa"/>
          </w:tcPr>
          <w:p w14:paraId="1EAE3D0B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VI. Społeczność lokalna. Uczeń:</w:t>
            </w:r>
          </w:p>
          <w:p w14:paraId="1D689A00" w14:textId="08A4F763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wymienia zadania samorządu gminnego</w:t>
            </w:r>
          </w:p>
          <w:p w14:paraId="50E8C505" w14:textId="085640E1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przedstawia, jak zorganizowany jest urząd gminy (miasta/</w:t>
            </w:r>
            <w:r w:rsidRPr="0082770B">
              <w:rPr>
                <w:rFonts w:eastAsia="Times New Roman" w:cs="Arial"/>
                <w:sz w:val="20"/>
                <w:szCs w:val="20"/>
              </w:rPr>
              <w:t>dzielnicy)</w:t>
            </w:r>
          </w:p>
          <w:p w14:paraId="0CDB348D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wymienia organy stanowiące i wykonawcze w gminie (mieście/dzielnicy); przedstawia, jak są one wybierane i jak mogą zostać odwołane; podaje uprawnienia tych organów</w:t>
            </w:r>
          </w:p>
          <w:p w14:paraId="507BAFA2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4) podaje, kto pełni funkcje wójta/burmistrza/prezydenta miasta i przewodniczącego rady gminy/miasta; znajduje w mediach lokalnych informacje na temat publicznych działań osób pełniących funkcje w organach samorządu terytorialnego</w:t>
            </w:r>
          </w:p>
          <w:p w14:paraId="340DAC59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VII. Społeczność regionalna. Uczeń:</w:t>
            </w:r>
          </w:p>
          <w:p w14:paraId="0B99ABA6" w14:textId="4721D3D0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 xml:space="preserve">2) wymienia </w:t>
            </w:r>
            <w:r w:rsidR="00756AC0">
              <w:rPr>
                <w:rFonts w:eastAsia="Times New Roman" w:cs="Arial"/>
                <w:sz w:val="20"/>
                <w:szCs w:val="20"/>
              </w:rPr>
              <w:t xml:space="preserve">przykładowe </w:t>
            </w:r>
            <w:r w:rsidRPr="000E4D47">
              <w:rPr>
                <w:rFonts w:eastAsia="Times New Roman" w:cs="Arial"/>
                <w:sz w:val="20"/>
                <w:szCs w:val="20"/>
              </w:rPr>
              <w:t>zadania samorządu powiatowego i województwa</w:t>
            </w:r>
          </w:p>
          <w:p w14:paraId="32805230" w14:textId="71A635EC" w:rsidR="00F57C7A" w:rsidRPr="000E4D47" w:rsidRDefault="0082770B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wymienia organy stanowiące i wykonawcze samorządu powiatowego i województwa; przedstawia, jak są one wybierane i jak mogą zostać odwołane; podaje zadania tych organów</w:t>
            </w:r>
          </w:p>
        </w:tc>
      </w:tr>
      <w:tr w:rsidR="00F57C7A" w:rsidRPr="000E4D47" w14:paraId="1F721536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A29AF09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11. Obywatele a władze samorządowe. Budżety obywatelskie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2C2CD565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VI. Społeczność lokalna. Uczeń:</w:t>
            </w:r>
          </w:p>
          <w:p w14:paraId="4E42066C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6) rozpoznaje problemy społeczne swojej społeczności lokalnej (np. wynikające z sytuacji demograficznej, gospodarczej, infrastrukturalnej); formułuje sądy dotyczące tych problemów</w:t>
            </w:r>
          </w:p>
          <w:p w14:paraId="55FD4D6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IX. Udział obywateli w życiu publicznym – społeczeństwo obywatelskie. Uczeń:</w:t>
            </w:r>
          </w:p>
          <w:p w14:paraId="718F3F08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4) przedstawia formy wpływania obywateli na decyzje władz samorządowych, przykłady realizacji lokalnych inicjatyw mieszkańców finansowanych</w:t>
            </w:r>
            <w:r w:rsidR="00231DC1">
              <w:rPr>
                <w:rFonts w:eastAsia="Times New Roman" w:cs="Arial"/>
                <w:sz w:val="20"/>
                <w:szCs w:val="20"/>
              </w:rPr>
              <w:t xml:space="preserve"> z </w:t>
            </w:r>
            <w:r w:rsidRPr="000E4D47">
              <w:rPr>
                <w:rFonts w:eastAsia="Times New Roman" w:cs="Arial"/>
                <w:sz w:val="20"/>
                <w:szCs w:val="20"/>
              </w:rPr>
              <w:t>budżetów obywatelskich oraz przedsięwzięć podejmowanych przez młodzieżowe rady gminy/miasta</w:t>
            </w:r>
          </w:p>
        </w:tc>
      </w:tr>
      <w:tr w:rsidR="00F57C7A" w:rsidRPr="000E4D47" w14:paraId="58A59712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</w:tcPr>
          <w:p w14:paraId="76A48378" w14:textId="77777777" w:rsidR="00F57C7A" w:rsidRDefault="00F57C7A" w:rsidP="00E9675A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Lekcja powtórzeniowa. </w:t>
            </w:r>
            <w:r w:rsidRPr="000E4D47">
              <w:rPr>
                <w:rFonts w:cs="Arial"/>
                <w:b/>
                <w:bCs/>
                <w:sz w:val="20"/>
                <w:szCs w:val="20"/>
              </w:rPr>
              <w:t>Społeczność szkolna, lokalna i regionalna</w:t>
            </w:r>
          </w:p>
          <w:p w14:paraId="20547E0B" w14:textId="77777777" w:rsidR="00231DC1" w:rsidRPr="000E4D47" w:rsidRDefault="00231DC1" w:rsidP="00E9675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647431C1" w14:textId="77777777" w:rsidR="00F57C7A" w:rsidRPr="000E4D47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57C7A" w:rsidRPr="000E4D47" w14:paraId="467FD270" w14:textId="77777777" w:rsidTr="009C663B">
        <w:trPr>
          <w:cantSplit/>
        </w:trPr>
        <w:tc>
          <w:tcPr>
            <w:tcW w:w="9219" w:type="dxa"/>
            <w:gridSpan w:val="2"/>
            <w:shd w:val="clear" w:color="auto" w:fill="548DD4" w:themeFill="text2" w:themeFillTint="99"/>
          </w:tcPr>
          <w:p w14:paraId="63A18533" w14:textId="77777777" w:rsidR="00F57C7A" w:rsidRPr="000E4D47" w:rsidRDefault="00F57C7A" w:rsidP="00E9675A">
            <w:pPr>
              <w:spacing w:before="120" w:after="120"/>
              <w:jc w:val="center"/>
              <w:rPr>
                <w:rFonts w:cs="Arial"/>
                <w:b/>
              </w:rPr>
            </w:pPr>
            <w:r w:rsidRPr="000E4D47">
              <w:rPr>
                <w:rFonts w:cs="Arial"/>
                <w:b/>
              </w:rPr>
              <w:t xml:space="preserve">Dział III. </w:t>
            </w:r>
            <w:r w:rsidRPr="000E4D47">
              <w:rPr>
                <w:rFonts w:cs="Arial"/>
                <w:b/>
                <w:bCs/>
              </w:rPr>
              <w:t>Wspólnoty narodowe, etniczne i obywatelskie</w:t>
            </w:r>
          </w:p>
        </w:tc>
      </w:tr>
      <w:tr w:rsidR="00F57C7A" w:rsidRPr="000E4D47" w14:paraId="663CAE31" w14:textId="77777777" w:rsidTr="009C663B">
        <w:trPr>
          <w:cantSplit/>
        </w:trPr>
        <w:tc>
          <w:tcPr>
            <w:tcW w:w="2518" w:type="dxa"/>
            <w:vAlign w:val="center"/>
          </w:tcPr>
          <w:p w14:paraId="30B8F585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12. Narodowość a</w:t>
            </w:r>
            <w:r w:rsidR="00231DC1">
              <w:rPr>
                <w:rFonts w:cs="Arial"/>
                <w:b/>
                <w:sz w:val="20"/>
                <w:szCs w:val="20"/>
              </w:rPr>
              <w:t> </w:t>
            </w:r>
            <w:r w:rsidRPr="000E4D47">
              <w:rPr>
                <w:rFonts w:cs="Arial"/>
                <w:b/>
                <w:sz w:val="20"/>
                <w:szCs w:val="20"/>
              </w:rPr>
              <w:t>obywatelstwo</w:t>
            </w:r>
          </w:p>
        </w:tc>
        <w:tc>
          <w:tcPr>
            <w:tcW w:w="6701" w:type="dxa"/>
          </w:tcPr>
          <w:p w14:paraId="42AFB932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VIII. Wspólnoty narodowe/etniczne i ojczyzna. Uczeń:</w:t>
            </w:r>
          </w:p>
          <w:p w14:paraId="6A6090BF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wyjaśnia, co oznacza być Polakiem lub członkiem innej wspólnoty narodowej/ etnicznej oraz co łączy człowieka z ojczyzną – Polską; przedstawia te więzi na własnym przykładzie</w:t>
            </w:r>
          </w:p>
          <w:p w14:paraId="159DEA92" w14:textId="7003A4FE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wyjaśnia, czym obywatelstwo różni się od narodowości; wymienia konstytucyjne obowiązki obywatela</w:t>
            </w:r>
          </w:p>
        </w:tc>
      </w:tr>
      <w:tr w:rsidR="00F57C7A" w:rsidRPr="000E4D47" w14:paraId="19642512" w14:textId="77777777" w:rsidTr="009C663B">
        <w:trPr>
          <w:cantSplit/>
        </w:trPr>
        <w:tc>
          <w:tcPr>
            <w:tcW w:w="2518" w:type="dxa"/>
            <w:vAlign w:val="center"/>
          </w:tcPr>
          <w:p w14:paraId="40F36EC2" w14:textId="77777777" w:rsidR="00F57C7A" w:rsidRPr="000E4D47" w:rsidRDefault="00231DC1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13. Inni u nas, czyli o </w:t>
            </w:r>
            <w:r w:rsidR="00F57C7A" w:rsidRPr="000E4D47">
              <w:rPr>
                <w:rFonts w:cs="Arial"/>
                <w:b/>
                <w:sz w:val="20"/>
                <w:szCs w:val="20"/>
              </w:rPr>
              <w:t>mniejszościach narodowych i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="00F57C7A" w:rsidRPr="000E4D47">
              <w:rPr>
                <w:rFonts w:cs="Arial"/>
                <w:b/>
                <w:sz w:val="20"/>
                <w:szCs w:val="20"/>
              </w:rPr>
              <w:t>etnicznych</w:t>
            </w:r>
          </w:p>
        </w:tc>
        <w:tc>
          <w:tcPr>
            <w:tcW w:w="6701" w:type="dxa"/>
          </w:tcPr>
          <w:p w14:paraId="55ECE3F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VIII. Wspólnoty narodowe/etniczne i ojczyzna. Uczeń:</w:t>
            </w:r>
          </w:p>
          <w:p w14:paraId="7BF24C40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4) wymienia mieszkające w Polsce mniejszości narodowe i etniczne, grupę posługującą się językiem regionalnym oraz grupy migrantów (w tym uchodźców) i lokalizuje miejsca ich zwartego z</w:t>
            </w:r>
            <w:r w:rsidR="00231DC1">
              <w:rPr>
                <w:rFonts w:eastAsia="Times New Roman" w:cs="Arial"/>
                <w:sz w:val="20"/>
                <w:szCs w:val="20"/>
              </w:rPr>
              <w:t>amieszkiwania; przedstawia – za </w:t>
            </w:r>
            <w:r w:rsidRPr="000E4D47">
              <w:rPr>
                <w:rFonts w:eastAsia="Times New Roman" w:cs="Arial"/>
                <w:sz w:val="20"/>
                <w:szCs w:val="20"/>
              </w:rPr>
              <w:t>Konstytucją Rzeczypospolitej Polskiej – prawa przysługujące etnicznym grupom mniejszościowym</w:t>
            </w:r>
          </w:p>
        </w:tc>
      </w:tr>
      <w:tr w:rsidR="00F57C7A" w:rsidRPr="000E4D47" w14:paraId="1BAF70BB" w14:textId="77777777" w:rsidTr="009C663B">
        <w:trPr>
          <w:cantSplit/>
        </w:trPr>
        <w:tc>
          <w:tcPr>
            <w:tcW w:w="2518" w:type="dxa"/>
            <w:vAlign w:val="center"/>
          </w:tcPr>
          <w:p w14:paraId="31EED3B8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lastRenderedPageBreak/>
              <w:t>14. Różne oblicza patriotyzmu</w:t>
            </w:r>
          </w:p>
        </w:tc>
        <w:tc>
          <w:tcPr>
            <w:tcW w:w="6701" w:type="dxa"/>
          </w:tcPr>
          <w:p w14:paraId="323D0BD1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VIII. Wspólnoty narodowe/etniczne i ojczyzna. Uczeń:</w:t>
            </w:r>
          </w:p>
          <w:p w14:paraId="6AFB1FD3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analizuje symbole Rzeczypospolitej Polskiej; wyjaśnia, czym powinna przejawiać się postawa patriotyczna młodego i dorosłego człowieka</w:t>
            </w:r>
          </w:p>
          <w:p w14:paraId="3F00C5C2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5) uzasadnia, że można pogodzić różne tożsamości społeczno-kulturowe (regionalną, narodową/ etniczną, państwową/ obywatelską, europejską); rozpoznaje przejawy ksenofobii, w tym rasizmu, szowinizmu i antysemityzmu, oraz uzasadnia potrzebę przeciwstawiania się tym zjawiskom</w:t>
            </w:r>
          </w:p>
        </w:tc>
      </w:tr>
      <w:tr w:rsidR="00F57C7A" w:rsidRPr="000E4D47" w14:paraId="6717DED5" w14:textId="77777777" w:rsidTr="009C663B">
        <w:trPr>
          <w:cantSplit/>
        </w:trPr>
        <w:tc>
          <w:tcPr>
            <w:tcW w:w="2518" w:type="dxa"/>
            <w:vAlign w:val="center"/>
          </w:tcPr>
          <w:p w14:paraId="348473D3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15. Umiejętności i cnoty obywatelskie</w:t>
            </w:r>
          </w:p>
        </w:tc>
        <w:tc>
          <w:tcPr>
            <w:tcW w:w="6701" w:type="dxa"/>
          </w:tcPr>
          <w:p w14:paraId="585C40D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IX. Udział obywateli w życiu publicznym – społeczeństwo obywatelskie. Uczeń:</w:t>
            </w:r>
          </w:p>
          <w:p w14:paraId="6630541E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podaje cnoty obywatelskie (odpowiedzialność, troska o dobro wspólne, aktywność, przedsiębiorczość, solidarność, roztropność, tolerancja, odwaga cywilna); wykazuje, odwołując się do działań wybitnych Polaków, znaczenie ich urzeczywistnienia dla pożytku publicznego</w:t>
            </w:r>
          </w:p>
        </w:tc>
      </w:tr>
      <w:tr w:rsidR="00F57C7A" w:rsidRPr="000E4D47" w14:paraId="4C571E54" w14:textId="77777777" w:rsidTr="009C663B">
        <w:trPr>
          <w:cantSplit/>
        </w:trPr>
        <w:tc>
          <w:tcPr>
            <w:tcW w:w="2518" w:type="dxa"/>
            <w:vAlign w:val="center"/>
          </w:tcPr>
          <w:p w14:paraId="19CC8CB7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16. Działania organizacji pozarządowych </w:t>
            </w:r>
          </w:p>
        </w:tc>
        <w:tc>
          <w:tcPr>
            <w:tcW w:w="6701" w:type="dxa"/>
          </w:tcPr>
          <w:p w14:paraId="573EFB35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IX. Udział obywateli w życiu publicznym – społeczeństwo obywatelskie. Uczeń:</w:t>
            </w:r>
          </w:p>
          <w:p w14:paraId="2637F8F9" w14:textId="4249970A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przedstawia cele i formy działań organizacji pozarządowych aktywnych w</w:t>
            </w:r>
            <w:r w:rsidR="00CF79B7">
              <w:rPr>
                <w:rFonts w:eastAsia="Times New Roman" w:cs="Arial"/>
                <w:sz w:val="20"/>
                <w:szCs w:val="20"/>
              </w:rPr>
              <w:t> </w:t>
            </w:r>
            <w:r w:rsidRPr="000E4D47">
              <w:rPr>
                <w:rFonts w:eastAsia="Times New Roman" w:cs="Arial"/>
                <w:sz w:val="20"/>
                <w:szCs w:val="20"/>
              </w:rPr>
              <w:t>społeczności lokalnej i regionie; wykazuje, że działalność tego typu prowadzi do realizacji różnorodnych potrzeb</w:t>
            </w:r>
          </w:p>
        </w:tc>
      </w:tr>
      <w:tr w:rsidR="00F57C7A" w:rsidRPr="000E4D47" w14:paraId="312A31A1" w14:textId="77777777" w:rsidTr="009C663B">
        <w:trPr>
          <w:cantSplit/>
        </w:trPr>
        <w:tc>
          <w:tcPr>
            <w:tcW w:w="2518" w:type="dxa"/>
            <w:vAlign w:val="center"/>
          </w:tcPr>
          <w:p w14:paraId="45336D5C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17. Aktywność obywatelska młodych</w:t>
            </w:r>
          </w:p>
        </w:tc>
        <w:tc>
          <w:tcPr>
            <w:tcW w:w="6701" w:type="dxa"/>
          </w:tcPr>
          <w:p w14:paraId="60F72B0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IX. Udział obywateli w życiu publicznym – społeczeństwo obywatelskie. Uczeń:</w:t>
            </w:r>
          </w:p>
          <w:p w14:paraId="053A85C3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przedstawia cele i przykłady działania organizacji społecznych skupiających młodych ludzi w Polsce; wyjaśnia ideę wolontariatu i przedstawia formy działalności wolontariuszy</w:t>
            </w:r>
          </w:p>
        </w:tc>
      </w:tr>
      <w:tr w:rsidR="00F57C7A" w:rsidRPr="000E4D47" w14:paraId="2318B744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3ABEB246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18. Zachowania etyczne w</w:t>
            </w:r>
            <w:r w:rsidR="00231DC1">
              <w:rPr>
                <w:rFonts w:cs="Arial"/>
                <w:b/>
                <w:sz w:val="20"/>
                <w:szCs w:val="20"/>
              </w:rPr>
              <w:t> </w:t>
            </w:r>
            <w:r w:rsidRPr="000E4D47">
              <w:rPr>
                <w:rFonts w:cs="Arial"/>
                <w:b/>
                <w:sz w:val="20"/>
                <w:szCs w:val="20"/>
              </w:rPr>
              <w:t>działaniach obywatelskich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40C9F78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IX. Udział obywateli w życiu publicznym – społeczeństwo obywatelskie. Uczeń:</w:t>
            </w:r>
          </w:p>
          <w:p w14:paraId="1F29D68E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5) uzasadnia potrzebę przestrzegania zasad etycznych w życiu publicznym; rozpoznaje przejawy ich łamania i podaje skutki takich działań</w:t>
            </w:r>
          </w:p>
        </w:tc>
      </w:tr>
      <w:tr w:rsidR="00F57C7A" w:rsidRPr="000E4D47" w14:paraId="1270C311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</w:tcPr>
          <w:p w14:paraId="063B6F98" w14:textId="77777777" w:rsidR="00F57C7A" w:rsidRPr="000E4D47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Lekcja powtórzeniowa. </w:t>
            </w:r>
            <w:r w:rsidRPr="000E4D47">
              <w:rPr>
                <w:rFonts w:cs="Arial"/>
                <w:b/>
                <w:bCs/>
                <w:sz w:val="20"/>
                <w:szCs w:val="20"/>
              </w:rPr>
              <w:t>Wspólnoty narodowe, etniczne i obywatelskie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3134BD10" w14:textId="77777777" w:rsidR="00F57C7A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4F45D40C" w14:textId="77777777" w:rsidR="00231DC1" w:rsidRDefault="00231DC1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44E4A3E8" w14:textId="77777777" w:rsidR="00231DC1" w:rsidRPr="000E4D47" w:rsidRDefault="00231DC1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57C7A" w:rsidRPr="000E4D47" w14:paraId="6A9B1590" w14:textId="77777777" w:rsidTr="009C663B">
        <w:trPr>
          <w:cantSplit/>
        </w:trPr>
        <w:tc>
          <w:tcPr>
            <w:tcW w:w="9219" w:type="dxa"/>
            <w:gridSpan w:val="2"/>
            <w:shd w:val="clear" w:color="auto" w:fill="548DD4" w:themeFill="text2" w:themeFillTint="99"/>
          </w:tcPr>
          <w:p w14:paraId="0AF8171B" w14:textId="77777777" w:rsidR="00F57C7A" w:rsidRPr="000E4D47" w:rsidRDefault="00F57C7A" w:rsidP="00E9675A">
            <w:pPr>
              <w:spacing w:before="120" w:after="120"/>
              <w:jc w:val="center"/>
              <w:rPr>
                <w:rFonts w:cs="Arial"/>
                <w:b/>
              </w:rPr>
            </w:pPr>
            <w:r w:rsidRPr="000E4D47">
              <w:rPr>
                <w:rFonts w:cs="Arial"/>
                <w:b/>
              </w:rPr>
              <w:t xml:space="preserve">Dział IV. </w:t>
            </w:r>
            <w:r w:rsidRPr="000E4D47">
              <w:rPr>
                <w:rFonts w:cs="Arial"/>
                <w:b/>
                <w:bCs/>
              </w:rPr>
              <w:t>Ustrój demokratyczny Rzeczypospolitej Polskiej</w:t>
            </w:r>
          </w:p>
        </w:tc>
      </w:tr>
      <w:tr w:rsidR="00F57C7A" w:rsidRPr="000E4D47" w14:paraId="34932320" w14:textId="77777777" w:rsidTr="009C663B">
        <w:trPr>
          <w:cantSplit/>
        </w:trPr>
        <w:tc>
          <w:tcPr>
            <w:tcW w:w="2518" w:type="dxa"/>
            <w:vAlign w:val="center"/>
          </w:tcPr>
          <w:p w14:paraId="5A971C56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19. Państwo i jego funkcje</w:t>
            </w:r>
          </w:p>
        </w:tc>
        <w:tc>
          <w:tcPr>
            <w:tcW w:w="6701" w:type="dxa"/>
          </w:tcPr>
          <w:p w14:paraId="72270613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XI. Demokracja w Rzeczypospolitej Polskiej. Uczeń:</w:t>
            </w:r>
          </w:p>
          <w:p w14:paraId="5E210A40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wymienia podstawowe cechy i funkcje państwa; wyjaśnia, czym zajmuje się władza państwowa</w:t>
            </w:r>
          </w:p>
        </w:tc>
      </w:tr>
      <w:tr w:rsidR="00F57C7A" w:rsidRPr="000E4D47" w14:paraId="067F64D7" w14:textId="77777777" w:rsidTr="009C663B">
        <w:trPr>
          <w:cantSplit/>
        </w:trPr>
        <w:tc>
          <w:tcPr>
            <w:tcW w:w="2518" w:type="dxa"/>
            <w:vAlign w:val="center"/>
          </w:tcPr>
          <w:p w14:paraId="0BB74F5B" w14:textId="77777777" w:rsidR="00F57C7A" w:rsidRPr="000E4D47" w:rsidRDefault="00F57C7A" w:rsidP="00231DC1">
            <w:pPr>
              <w:pStyle w:val="Default"/>
              <w:ind w:left="284" w:hanging="28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4D47">
              <w:rPr>
                <w:rFonts w:asciiTheme="minorHAnsi" w:eastAsiaTheme="minorEastAsia" w:hAnsiTheme="minorHAnsi" w:cs="Arial"/>
                <w:b/>
                <w:sz w:val="20"/>
                <w:szCs w:val="20"/>
              </w:rPr>
              <w:t>20. Fundamentalne zasady demokracji</w:t>
            </w:r>
            <w:r w:rsidRPr="000E4D4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01" w:type="dxa"/>
          </w:tcPr>
          <w:p w14:paraId="126C098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XI. Demokracja w Rzeczypospolitej Polskiej. Uczeń:</w:t>
            </w:r>
          </w:p>
          <w:p w14:paraId="55B69E71" w14:textId="23D658DF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wyjaśnia zasadę suwerenności narodu; przedstawia sprawy, które mogą być poddane pod referendum</w:t>
            </w:r>
          </w:p>
          <w:p w14:paraId="59E92E70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wyjaśnia zasadę przedstawicielstwa (demokracji pośredniej) (...)</w:t>
            </w:r>
          </w:p>
          <w:p w14:paraId="61A77346" w14:textId="116CA771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6) wyjaśnia zasadę państwa prawa (...)</w:t>
            </w:r>
          </w:p>
          <w:p w14:paraId="6FFE368B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8) wyjaśnia zasadę trójpodziału władzy (...)</w:t>
            </w:r>
          </w:p>
        </w:tc>
      </w:tr>
      <w:tr w:rsidR="00F57C7A" w:rsidRPr="000E4D47" w14:paraId="69C3F4F9" w14:textId="77777777" w:rsidTr="009C663B">
        <w:trPr>
          <w:cantSplit/>
        </w:trPr>
        <w:tc>
          <w:tcPr>
            <w:tcW w:w="2518" w:type="dxa"/>
            <w:vAlign w:val="center"/>
          </w:tcPr>
          <w:p w14:paraId="604C46C6" w14:textId="77777777" w:rsidR="00F57C7A" w:rsidRPr="000E4D47" w:rsidRDefault="00F57C7A" w:rsidP="00231DC1">
            <w:pPr>
              <w:pStyle w:val="Default"/>
              <w:ind w:left="284" w:hanging="284"/>
              <w:rPr>
                <w:rFonts w:asciiTheme="minorHAnsi" w:hAnsiTheme="minorHAnsi" w:cs="Arial"/>
                <w:b/>
                <w:i/>
                <w:color w:val="auto"/>
                <w:sz w:val="20"/>
                <w:szCs w:val="20"/>
              </w:rPr>
            </w:pPr>
            <w:r w:rsidRPr="000E4D47">
              <w:rPr>
                <w:rFonts w:asciiTheme="minorHAnsi" w:eastAsiaTheme="minorEastAsia" w:hAnsiTheme="minorHAnsi" w:cs="Arial"/>
                <w:b/>
                <w:sz w:val="20"/>
                <w:szCs w:val="20"/>
              </w:rPr>
              <w:t>21. Konstytucja jako najważniejszy akt prawny</w:t>
            </w:r>
            <w:r w:rsidRPr="000E4D47">
              <w:rPr>
                <w:rFonts w:asciiTheme="minorHAnsi" w:hAnsiTheme="minorHAnsi" w:cs="Arial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01" w:type="dxa"/>
          </w:tcPr>
          <w:p w14:paraId="6943FC62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XI. Demokracja w Rzeczypospolitej Polskiej. Uczeń:</w:t>
            </w:r>
          </w:p>
          <w:p w14:paraId="70362F5D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7) wyjaśnia zasadę konstytucjonalizmu; podaje szczególne cechy konstytucji; znajduje w Konstytucji Rzeczypospolitej Polskiej przepisy dotyczące wskazanej kwestii; podaje kompetencje Trybunału Konstytucyjnego Rzeczypospolitej Polskiej</w:t>
            </w:r>
          </w:p>
        </w:tc>
      </w:tr>
      <w:tr w:rsidR="00F57C7A" w:rsidRPr="000E4D47" w14:paraId="15313840" w14:textId="77777777" w:rsidTr="009C663B">
        <w:trPr>
          <w:cantSplit/>
        </w:trPr>
        <w:tc>
          <w:tcPr>
            <w:tcW w:w="2518" w:type="dxa"/>
            <w:vAlign w:val="center"/>
          </w:tcPr>
          <w:p w14:paraId="1D99EDC5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22. Patrie polityczne</w:t>
            </w:r>
          </w:p>
        </w:tc>
        <w:tc>
          <w:tcPr>
            <w:tcW w:w="6701" w:type="dxa"/>
          </w:tcPr>
          <w:p w14:paraId="354354F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XI. Demokracja w Rzeczypospolitej Polskiej. Uczeń:</w:t>
            </w:r>
          </w:p>
          <w:p w14:paraId="731F5C9F" w14:textId="106F8205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4) wyjaśnia zasadę pluralizmu politycznego; wymienia partie polityczne, których przedstawiciele zasiadają w Sejmie Rzeczypospolitej Polskiej; przedstawia cele działania partii politycznych oraz wykazuje, że konkurują one w życiu publicznym; znajduje informacje na temat działań wybranej partii (jej struktur regionalnych lub centralnych)</w:t>
            </w:r>
          </w:p>
        </w:tc>
      </w:tr>
      <w:tr w:rsidR="00F57C7A" w:rsidRPr="000E4D47" w14:paraId="35EF4158" w14:textId="77777777" w:rsidTr="009C663B">
        <w:trPr>
          <w:cantSplit/>
        </w:trPr>
        <w:tc>
          <w:tcPr>
            <w:tcW w:w="2518" w:type="dxa"/>
            <w:vAlign w:val="center"/>
          </w:tcPr>
          <w:p w14:paraId="1C47A5BA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lastRenderedPageBreak/>
              <w:t>23. Jak działa demokracja przedstawicielska: sejm i senat</w:t>
            </w:r>
          </w:p>
        </w:tc>
        <w:tc>
          <w:tcPr>
            <w:tcW w:w="6701" w:type="dxa"/>
          </w:tcPr>
          <w:p w14:paraId="03AD8613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XI. Demokracja w Rzeczypospolitej Polskiej. Uczeń:</w:t>
            </w:r>
          </w:p>
          <w:p w14:paraId="32FD2E8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(...) przedstawia zasady wyborów do Sejmu Rzeczypospolitej Polskiej i Senatu Rzeczypospolitej Polskiej oraz zasady działania i najważniejsze kompetencje izb parlamentu</w:t>
            </w:r>
          </w:p>
        </w:tc>
      </w:tr>
      <w:tr w:rsidR="00F57C7A" w:rsidRPr="000E4D47" w14:paraId="0F92F351" w14:textId="77777777" w:rsidTr="009C663B">
        <w:trPr>
          <w:cantSplit/>
        </w:trPr>
        <w:tc>
          <w:tcPr>
            <w:tcW w:w="2518" w:type="dxa"/>
            <w:vAlign w:val="center"/>
          </w:tcPr>
          <w:p w14:paraId="36AAA54F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24. Władza wykonawcza: Prezydent RP i Rada Ministrów</w:t>
            </w:r>
          </w:p>
        </w:tc>
        <w:tc>
          <w:tcPr>
            <w:tcW w:w="6701" w:type="dxa"/>
          </w:tcPr>
          <w:p w14:paraId="4B94A775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XI. Demokracja w Rzeczypospolitej Polskiej. Uczeń:</w:t>
            </w:r>
          </w:p>
          <w:p w14:paraId="713D6E2A" w14:textId="5CB823C9" w:rsidR="00756AC0" w:rsidRDefault="00756AC0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5) wyjaśnia zasadę republikańskiej formy rzą</w:t>
            </w:r>
            <w:r>
              <w:rPr>
                <w:rFonts w:eastAsia="Times New Roman" w:cs="Arial"/>
                <w:sz w:val="20"/>
                <w:szCs w:val="20"/>
              </w:rPr>
              <w:t>du; przedstawia sposób wyboru i </w:t>
            </w:r>
            <w:r w:rsidRPr="000E4D47">
              <w:rPr>
                <w:rFonts w:eastAsia="Times New Roman" w:cs="Arial"/>
                <w:sz w:val="20"/>
                <w:szCs w:val="20"/>
              </w:rPr>
              <w:t xml:space="preserve">podstawowe kompetencje Prezydenta Rzeczypospolitej Polskiej; znajduje informacje o działaniach urzędującego Prezydenta Rzeczypospolitej Polskiej </w:t>
            </w:r>
          </w:p>
          <w:p w14:paraId="287AF197" w14:textId="199A19F6" w:rsidR="00F57C7A" w:rsidRPr="000E4D47" w:rsidRDefault="00F57C7A" w:rsidP="001076F5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8) (...) objaśnia konieczność poparcia większości sejmowej dla Rady Ministrów Rzeczypospolitej Polskiej (bądź jej działań); przedstawia podstawowe kompetencje Rady Ministrów Rzeczypospo</w:t>
            </w:r>
            <w:r w:rsidR="00231DC1">
              <w:rPr>
                <w:rFonts w:eastAsia="Times New Roman" w:cs="Arial"/>
                <w:sz w:val="20"/>
                <w:szCs w:val="20"/>
              </w:rPr>
              <w:t xml:space="preserve">litej Polskiej; podaje </w:t>
            </w:r>
            <w:r w:rsidR="00756AC0">
              <w:rPr>
                <w:rFonts w:eastAsia="Times New Roman" w:cs="Arial"/>
                <w:sz w:val="20"/>
                <w:szCs w:val="20"/>
              </w:rPr>
              <w:t xml:space="preserve">imię </w:t>
            </w:r>
            <w:r w:rsidR="00231DC1">
              <w:rPr>
                <w:rFonts w:eastAsia="Times New Roman" w:cs="Arial"/>
                <w:sz w:val="20"/>
                <w:szCs w:val="20"/>
              </w:rPr>
              <w:t xml:space="preserve"> i </w:t>
            </w:r>
            <w:r w:rsidRPr="000E4D47">
              <w:rPr>
                <w:rFonts w:eastAsia="Times New Roman" w:cs="Arial"/>
                <w:sz w:val="20"/>
                <w:szCs w:val="20"/>
              </w:rPr>
              <w:t>nazwisk</w:t>
            </w:r>
            <w:r w:rsidR="001076F5">
              <w:rPr>
                <w:rFonts w:eastAsia="Times New Roman" w:cs="Arial"/>
                <w:sz w:val="20"/>
                <w:szCs w:val="20"/>
              </w:rPr>
              <w:t>o</w:t>
            </w:r>
            <w:r w:rsidRPr="000E4D47">
              <w:rPr>
                <w:rFonts w:eastAsia="Times New Roman" w:cs="Arial"/>
                <w:sz w:val="20"/>
                <w:szCs w:val="20"/>
              </w:rPr>
              <w:t xml:space="preserve"> urzędując</w:t>
            </w:r>
            <w:r w:rsidR="001076F5">
              <w:rPr>
                <w:rFonts w:eastAsia="Times New Roman" w:cs="Arial"/>
                <w:sz w:val="20"/>
                <w:szCs w:val="20"/>
              </w:rPr>
              <w:t>ego</w:t>
            </w:r>
            <w:r w:rsidRPr="000E4D47">
              <w:rPr>
                <w:rFonts w:eastAsia="Times New Roman" w:cs="Arial"/>
                <w:sz w:val="20"/>
                <w:szCs w:val="20"/>
              </w:rPr>
              <w:t xml:space="preserve"> prezesa Rady Ministrów Rzeczypospolitej Polskiej; wykazuje, że</w:t>
            </w:r>
            <w:r w:rsidR="00CF79B7">
              <w:rPr>
                <w:rFonts w:eastAsia="Times New Roman" w:cs="Arial"/>
                <w:sz w:val="20"/>
                <w:szCs w:val="20"/>
              </w:rPr>
              <w:t> </w:t>
            </w:r>
            <w:r w:rsidRPr="000E4D47">
              <w:rPr>
                <w:rFonts w:eastAsia="Times New Roman" w:cs="Arial"/>
                <w:sz w:val="20"/>
                <w:szCs w:val="20"/>
              </w:rPr>
              <w:t>decyzje podejmowane w wybranym ministerstwie mają wpływ na życie jego rodziny</w:t>
            </w:r>
          </w:p>
        </w:tc>
      </w:tr>
      <w:tr w:rsidR="00F57C7A" w:rsidRPr="000E4D47" w14:paraId="73D160A6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38D2C84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25. Władza sądownicza 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29F17F5F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XI. Demokracja w Rzeczypospolitej Polskiej. Uczeń:</w:t>
            </w:r>
          </w:p>
          <w:p w14:paraId="30B03AED" w14:textId="5C8E2650" w:rsidR="00F57C7A" w:rsidRPr="000E4D47" w:rsidRDefault="00CF79B7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CF79B7">
              <w:rPr>
                <w:rFonts w:eastAsia="Times New Roman" w:cs="Arial"/>
                <w:sz w:val="20"/>
                <w:szCs w:val="20"/>
              </w:rPr>
              <w:t>6) wyjaśnia zasadę państwa prawa, w tym zasady niezależności sądów i</w:t>
            </w:r>
            <w:r>
              <w:rPr>
                <w:rFonts w:eastAsia="Times New Roman" w:cs="Arial"/>
                <w:sz w:val="20"/>
                <w:szCs w:val="20"/>
              </w:rPr>
              <w:t> </w:t>
            </w:r>
            <w:r w:rsidRPr="00CF79B7">
              <w:rPr>
                <w:rFonts w:eastAsia="Times New Roman" w:cs="Arial"/>
                <w:sz w:val="20"/>
                <w:szCs w:val="20"/>
              </w:rPr>
              <w:t>niezawisłości sędziów; wyjaśnia zasadę dwuinstancyjności postępowania sądowego</w:t>
            </w:r>
          </w:p>
        </w:tc>
      </w:tr>
      <w:tr w:rsidR="00F57C7A" w:rsidRPr="000E4D47" w14:paraId="1ABDC1AB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</w:tcPr>
          <w:p w14:paraId="4275B63E" w14:textId="77777777" w:rsidR="00F57C7A" w:rsidRPr="000E4D47" w:rsidRDefault="00F57C7A" w:rsidP="00E9675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Lekcja powtórzeniowa. Ustrój demokratyczny Rzeczypospolitej Polskiej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38DD3EC4" w14:textId="77777777" w:rsidR="00F57C7A" w:rsidRPr="000E4D47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57C7A" w:rsidRPr="000E4D47" w14:paraId="3EB025AF" w14:textId="77777777" w:rsidTr="009C663B">
        <w:trPr>
          <w:cantSplit/>
        </w:trPr>
        <w:tc>
          <w:tcPr>
            <w:tcW w:w="9219" w:type="dxa"/>
            <w:gridSpan w:val="2"/>
            <w:shd w:val="clear" w:color="auto" w:fill="548DD4" w:themeFill="text2" w:themeFillTint="99"/>
          </w:tcPr>
          <w:p w14:paraId="7CBB7623" w14:textId="77777777" w:rsidR="00F57C7A" w:rsidRPr="000E4D47" w:rsidRDefault="00F57C7A" w:rsidP="00E9675A">
            <w:pPr>
              <w:spacing w:before="120" w:after="120"/>
              <w:jc w:val="center"/>
              <w:rPr>
                <w:rFonts w:cs="Arial"/>
                <w:b/>
              </w:rPr>
            </w:pPr>
            <w:r w:rsidRPr="000E4D47">
              <w:rPr>
                <w:rFonts w:cs="Arial"/>
                <w:b/>
              </w:rPr>
              <w:t>Dział V. Świat, Europa</w:t>
            </w:r>
          </w:p>
        </w:tc>
      </w:tr>
      <w:tr w:rsidR="00F57C7A" w:rsidRPr="000E4D47" w14:paraId="2519E29F" w14:textId="77777777" w:rsidTr="009C663B">
        <w:trPr>
          <w:cantSplit/>
        </w:trPr>
        <w:tc>
          <w:tcPr>
            <w:tcW w:w="2518" w:type="dxa"/>
            <w:vAlign w:val="center"/>
          </w:tcPr>
          <w:p w14:paraId="06A285EA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26. Organizacje międzynarodowe</w:t>
            </w:r>
          </w:p>
        </w:tc>
        <w:tc>
          <w:tcPr>
            <w:tcW w:w="6701" w:type="dxa"/>
          </w:tcPr>
          <w:p w14:paraId="23F82598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XII. Sprawy międzynarodowe. Uczeń:</w:t>
            </w:r>
          </w:p>
          <w:p w14:paraId="01C70BEB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wymienia cele i przejawy działania Orga</w:t>
            </w:r>
            <w:r w:rsidR="00231DC1">
              <w:rPr>
                <w:rFonts w:eastAsia="Times New Roman" w:cs="Arial"/>
                <w:sz w:val="20"/>
                <w:szCs w:val="20"/>
              </w:rPr>
              <w:t>nizacji Narodów Zjednoczonych i </w:t>
            </w:r>
            <w:r w:rsidRPr="000E4D47">
              <w:rPr>
                <w:rFonts w:eastAsia="Times New Roman" w:cs="Arial"/>
                <w:sz w:val="20"/>
                <w:szCs w:val="20"/>
              </w:rPr>
              <w:t>Organizacji Paktu Północnoatlantyckiego;</w:t>
            </w:r>
          </w:p>
          <w:p w14:paraId="4C20E5B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 xml:space="preserve">4) przedstawia działalność Polski w Organizacji Narodów Zjednoczonych (...) </w:t>
            </w:r>
            <w:r w:rsidR="00231DC1">
              <w:rPr>
                <w:rFonts w:eastAsia="Times New Roman" w:cs="Arial"/>
                <w:sz w:val="20"/>
                <w:szCs w:val="20"/>
              </w:rPr>
              <w:t>i </w:t>
            </w:r>
            <w:r w:rsidRPr="000E4D47">
              <w:rPr>
                <w:rFonts w:eastAsia="Times New Roman" w:cs="Arial"/>
                <w:sz w:val="20"/>
                <w:szCs w:val="20"/>
              </w:rPr>
              <w:t>Organizacji Paktu Północnoatlantyckiego</w:t>
            </w:r>
          </w:p>
        </w:tc>
      </w:tr>
      <w:tr w:rsidR="00F57C7A" w:rsidRPr="000E4D47" w14:paraId="74999D4B" w14:textId="77777777" w:rsidTr="009C663B">
        <w:trPr>
          <w:cantSplit/>
        </w:trPr>
        <w:tc>
          <w:tcPr>
            <w:tcW w:w="2518" w:type="dxa"/>
            <w:vAlign w:val="center"/>
          </w:tcPr>
          <w:p w14:paraId="6D17B444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27. Cele i zasady działania Unii Europejskiej</w:t>
            </w:r>
          </w:p>
        </w:tc>
        <w:tc>
          <w:tcPr>
            <w:tcW w:w="6701" w:type="dxa"/>
          </w:tcPr>
          <w:p w14:paraId="416B91FC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XII. Sprawy międzynarodowe. Uczeń:</w:t>
            </w:r>
          </w:p>
          <w:p w14:paraId="56CC3EFF" w14:textId="3FC9729C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wymienia cele działania Unii Europejskiej</w:t>
            </w:r>
            <w:r w:rsidR="00CF79B7">
              <w:rPr>
                <w:rFonts w:eastAsia="Times New Roman" w:cs="Arial"/>
                <w:sz w:val="20"/>
                <w:szCs w:val="20"/>
              </w:rPr>
              <w:t xml:space="preserve"> (…)</w:t>
            </w:r>
          </w:p>
        </w:tc>
      </w:tr>
      <w:tr w:rsidR="00F57C7A" w:rsidRPr="000E4D47" w14:paraId="1A9FF4A4" w14:textId="77777777" w:rsidTr="009C663B">
        <w:trPr>
          <w:cantSplit/>
        </w:trPr>
        <w:tc>
          <w:tcPr>
            <w:tcW w:w="2518" w:type="dxa"/>
            <w:vAlign w:val="center"/>
          </w:tcPr>
          <w:p w14:paraId="44342C39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28. We wspólnej Europie</w:t>
            </w:r>
          </w:p>
        </w:tc>
        <w:tc>
          <w:tcPr>
            <w:tcW w:w="6701" w:type="dxa"/>
          </w:tcPr>
          <w:p w14:paraId="209168C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XII. Sprawy międzynarodowe. Uczeń:</w:t>
            </w:r>
          </w:p>
          <w:p w14:paraId="056DDE4F" w14:textId="51BDDB3E" w:rsidR="00F57C7A" w:rsidRPr="000E4D47" w:rsidRDefault="001076F5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 xml:space="preserve">) </w:t>
            </w:r>
            <w:r>
              <w:rPr>
                <w:rFonts w:eastAsia="Times New Roman" w:cs="Arial"/>
                <w:sz w:val="20"/>
                <w:szCs w:val="20"/>
              </w:rPr>
              <w:t xml:space="preserve">(…) 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przedstawia podstawowe korzyści związane z obecnością Polski w Unii Europejskiej dla pracowników i osób podróżujących; znajduje informacje o</w:t>
            </w:r>
            <w:r w:rsidR="00231DC1">
              <w:rPr>
                <w:rFonts w:eastAsia="Times New Roman" w:cs="Arial"/>
                <w:sz w:val="20"/>
                <w:szCs w:val="20"/>
              </w:rPr>
              <w:t> 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wykorzystaniu funduszy unijnych w swojej gminie lub swoim regionie</w:t>
            </w:r>
            <w:r w:rsidR="00231DC1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62F636C4" w14:textId="0356B64B" w:rsidR="00F57C7A" w:rsidRPr="000E4D47" w:rsidRDefault="001076F5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(...) przedstawia działalność Polski w Unii Europejskiej</w:t>
            </w:r>
            <w:r>
              <w:rPr>
                <w:rFonts w:eastAsia="Times New Roman" w:cs="Arial"/>
                <w:sz w:val="20"/>
                <w:szCs w:val="20"/>
              </w:rPr>
              <w:t xml:space="preserve"> (…)</w:t>
            </w:r>
          </w:p>
        </w:tc>
      </w:tr>
      <w:tr w:rsidR="00F57C7A" w:rsidRPr="000E4D47" w14:paraId="55649A6E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0578FF97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29. Problemy współczesnego świata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0DF1E653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XII. Sprawy międzynarodowe. Uczeń:</w:t>
            </w:r>
          </w:p>
          <w:p w14:paraId="141DC6E9" w14:textId="24B6BD63" w:rsidR="00F57C7A" w:rsidRPr="000E4D47" w:rsidRDefault="0082770B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formułuje sądy w sprawach wybranych problemów społecznych współczesnego świata; rozważa propozycje działań w kierunku poprawy warunków życia innych ludzi na świecie</w:t>
            </w:r>
          </w:p>
        </w:tc>
      </w:tr>
      <w:tr w:rsidR="00F57C7A" w:rsidRPr="000E4D47" w14:paraId="761906EE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</w:tcPr>
          <w:p w14:paraId="0F855A3C" w14:textId="77777777" w:rsidR="00F57C7A" w:rsidRPr="000E4D47" w:rsidRDefault="00F57C7A" w:rsidP="00E9675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Lekcja powtórzeniowa. Świat, Europa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09E37555" w14:textId="77777777" w:rsidR="00F57C7A" w:rsidRPr="000E4D47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57C7A" w:rsidRPr="000E4D47" w14:paraId="62B65CFB" w14:textId="77777777" w:rsidTr="009C663B">
        <w:trPr>
          <w:cantSplit/>
        </w:trPr>
        <w:tc>
          <w:tcPr>
            <w:tcW w:w="9219" w:type="dxa"/>
            <w:gridSpan w:val="2"/>
            <w:shd w:val="clear" w:color="auto" w:fill="548DD4" w:themeFill="text2" w:themeFillTint="99"/>
          </w:tcPr>
          <w:p w14:paraId="392BDC7C" w14:textId="77777777" w:rsidR="00F57C7A" w:rsidRPr="000E4D47" w:rsidRDefault="00F57C7A" w:rsidP="00E9675A">
            <w:pPr>
              <w:spacing w:before="120" w:after="120"/>
              <w:jc w:val="center"/>
              <w:rPr>
                <w:rFonts w:cs="Arial"/>
                <w:b/>
              </w:rPr>
            </w:pPr>
            <w:r w:rsidRPr="000E4D47">
              <w:rPr>
                <w:rFonts w:cs="Arial"/>
                <w:b/>
              </w:rPr>
              <w:t>Dział VI. Prawa człowieka, nieletni wobec prawa</w:t>
            </w:r>
          </w:p>
        </w:tc>
      </w:tr>
      <w:tr w:rsidR="00F57C7A" w:rsidRPr="000E4D47" w14:paraId="653D655A" w14:textId="77777777" w:rsidTr="009C663B">
        <w:trPr>
          <w:cantSplit/>
        </w:trPr>
        <w:tc>
          <w:tcPr>
            <w:tcW w:w="2518" w:type="dxa"/>
            <w:vAlign w:val="center"/>
          </w:tcPr>
          <w:p w14:paraId="091A0485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30. Jak kształtowały się prawa człowieka</w:t>
            </w:r>
          </w:p>
        </w:tc>
        <w:tc>
          <w:tcPr>
            <w:tcW w:w="6701" w:type="dxa"/>
          </w:tcPr>
          <w:p w14:paraId="462C150B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IV. Prawa człowieka. Uczeń:</w:t>
            </w:r>
          </w:p>
          <w:p w14:paraId="24301FB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uzasadnia, że godność człowieka jest podstawą różnych systemów moralnych; wyjaśnia, że jest ona źródłem powszechnych, przyrodzonych, nienaruszalnych i niezbywalnych wolności i praw człowieka; analizuje sformułowania preambuły Powszechnej Deklaracji Praw Człowieka</w:t>
            </w:r>
          </w:p>
        </w:tc>
      </w:tr>
      <w:tr w:rsidR="00F57C7A" w:rsidRPr="000E4D47" w14:paraId="1E7144B8" w14:textId="77777777" w:rsidTr="009C663B">
        <w:trPr>
          <w:cantSplit/>
        </w:trPr>
        <w:tc>
          <w:tcPr>
            <w:tcW w:w="2518" w:type="dxa"/>
            <w:vAlign w:val="center"/>
          </w:tcPr>
          <w:p w14:paraId="7F661E89" w14:textId="77777777" w:rsidR="00F57C7A" w:rsidRPr="000E4D47" w:rsidRDefault="00F57C7A" w:rsidP="00231DC1">
            <w:pPr>
              <w:pStyle w:val="NormalnyWeb"/>
              <w:spacing w:before="0" w:beforeAutospacing="0" w:after="0" w:afterAutospacing="0"/>
              <w:ind w:left="284" w:hanging="28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4D47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31. Prawa człowieka zapisane w Konstytucji RP</w:t>
            </w:r>
          </w:p>
        </w:tc>
        <w:tc>
          <w:tcPr>
            <w:tcW w:w="6701" w:type="dxa"/>
          </w:tcPr>
          <w:p w14:paraId="0BAE5CBE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IV. Prawa człowieka. Uczeń:</w:t>
            </w:r>
          </w:p>
          <w:p w14:paraId="3B2898F3" w14:textId="6FECEC32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wykazuje różnice między prawami a wolnościami człowieka</w:t>
            </w:r>
            <w:r w:rsidR="001076F5" w:rsidRPr="001076F5">
              <w:rPr>
                <w:rFonts w:eastAsia="Times New Roman" w:cs="Arial"/>
                <w:sz w:val="20"/>
                <w:szCs w:val="20"/>
              </w:rPr>
              <w:t>(na przykładzie praw i wolności osobistych zawartych w Konstytucji Rzeczypospolitej Polskiej)</w:t>
            </w:r>
          </w:p>
          <w:p w14:paraId="1F807766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5) wymienia prawa i wolności polityczne zawarte w Konstytucji Rzeczypospolitej Polskiej; wykazuje, że dzięki nim człowiek może mieć wpływ na życie publiczne</w:t>
            </w:r>
          </w:p>
        </w:tc>
      </w:tr>
      <w:tr w:rsidR="00F57C7A" w:rsidRPr="000E4D47" w14:paraId="76C46D65" w14:textId="77777777" w:rsidTr="009C663B">
        <w:trPr>
          <w:cantSplit/>
        </w:trPr>
        <w:tc>
          <w:tcPr>
            <w:tcW w:w="2518" w:type="dxa"/>
            <w:vAlign w:val="center"/>
          </w:tcPr>
          <w:p w14:paraId="7A661750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32. Ochrona praw człowieka</w:t>
            </w:r>
          </w:p>
        </w:tc>
        <w:tc>
          <w:tcPr>
            <w:tcW w:w="6701" w:type="dxa"/>
          </w:tcPr>
          <w:p w14:paraId="39995B6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 xml:space="preserve">IV. Prawa człowieka. Uczeń: </w:t>
            </w:r>
          </w:p>
          <w:p w14:paraId="4B54B505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wymienia prawa dzieci i analizuje przepisy Konwencji o prawach dziecka</w:t>
            </w:r>
          </w:p>
          <w:p w14:paraId="0BB14D8C" w14:textId="75802205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4) podaje przykłady działań Rzecznika Praw Dziecka</w:t>
            </w:r>
          </w:p>
          <w:p w14:paraId="2BF8A756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6) wykazuje, że prawa człowieka muszą być chronione; wyjaśnia rolę Rzecznika Praw Obywatelskich i podaje przykłady jego działań</w:t>
            </w:r>
          </w:p>
          <w:p w14:paraId="7D385FE9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7) przedstawia przykłady działań organizacji pozarządowych na rzecz ochrony praw człowieka; uzasadnia potrzebę przeciwstawiania się zjawiskom braku tolerancji wobec różnych mniejszości</w:t>
            </w:r>
          </w:p>
        </w:tc>
      </w:tr>
      <w:tr w:rsidR="00F57C7A" w:rsidRPr="000E4D47" w14:paraId="2BE69909" w14:textId="77777777" w:rsidTr="009C663B">
        <w:trPr>
          <w:cantSplit/>
        </w:trPr>
        <w:tc>
          <w:tcPr>
            <w:tcW w:w="2518" w:type="dxa"/>
            <w:vAlign w:val="center"/>
          </w:tcPr>
          <w:p w14:paraId="68A5B05A" w14:textId="77777777" w:rsidR="00F57C7A" w:rsidRPr="000E4D47" w:rsidRDefault="003352D9" w:rsidP="00231DC1">
            <w:pPr>
              <w:pStyle w:val="NormalnyWeb"/>
              <w:spacing w:before="0" w:beforeAutospacing="0" w:after="0" w:afterAutospacing="0"/>
              <w:ind w:left="284" w:hanging="284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33. Uprawnienia policji i </w:t>
            </w:r>
            <w:r w:rsidR="00F57C7A" w:rsidRPr="000E4D47">
              <w:rPr>
                <w:rFonts w:asciiTheme="minorHAnsi" w:hAnsiTheme="minorHAnsi" w:cs="Arial"/>
                <w:b/>
                <w:sz w:val="20"/>
                <w:szCs w:val="20"/>
              </w:rPr>
              <w:t>służb porządkowych</w:t>
            </w:r>
          </w:p>
        </w:tc>
        <w:tc>
          <w:tcPr>
            <w:tcW w:w="6701" w:type="dxa"/>
          </w:tcPr>
          <w:p w14:paraId="376B65DB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V. Nieletni wobec prawa. Uczeń:</w:t>
            </w:r>
          </w:p>
          <w:p w14:paraId="2E2F5162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rozpoznaje zachowania związane z przemocą fizyczną i psychiczną, w tym werbalną, wobec siebie i innych; wymienia osoby i instytucje, które należy powiadomić w takich sytuacjach</w:t>
            </w:r>
          </w:p>
          <w:p w14:paraId="6851F9BC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4) przedstawia uprawnienia policjantów i funkcjonariuszy innych służb porządkowych oraz swoje prawa w kontakcie z tymi służbami</w:t>
            </w:r>
          </w:p>
        </w:tc>
      </w:tr>
      <w:tr w:rsidR="00F57C7A" w:rsidRPr="000E4D47" w14:paraId="3055F014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4889ABC9" w14:textId="77777777" w:rsidR="00F57C7A" w:rsidRPr="000E4D47" w:rsidRDefault="003352D9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34. Młodzi ludzie w </w:t>
            </w:r>
            <w:r w:rsidR="00F57C7A" w:rsidRPr="000E4D47">
              <w:rPr>
                <w:rFonts w:cs="Arial"/>
                <w:b/>
                <w:sz w:val="20"/>
                <w:szCs w:val="20"/>
              </w:rPr>
              <w:t>kontakcie z prawem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64901CBA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V. Nieletni wobec prawa. Uczeń:</w:t>
            </w:r>
          </w:p>
          <w:p w14:paraId="07AAFC31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rozpoznaje zachowania związane z przemocą fizyczną i psychiczną, w tym werbalną, wobec siebie i innych; wymienia osoby i instytucje, które należy powiadomić w takich sytuacjach</w:t>
            </w:r>
          </w:p>
          <w:p w14:paraId="45999780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3) wyjaśnia, na jakich zasadach nieletni odpowiadają za popełnienie wykroczeń i przestępstw</w:t>
            </w:r>
          </w:p>
        </w:tc>
      </w:tr>
      <w:tr w:rsidR="00F57C7A" w:rsidRPr="000E4D47" w14:paraId="06D8E6D9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</w:tcPr>
          <w:p w14:paraId="6BE7FC4A" w14:textId="77777777" w:rsidR="00F57C7A" w:rsidRPr="000E4D47" w:rsidRDefault="00F57C7A" w:rsidP="00E9675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 xml:space="preserve">Lekcja powtórzeniowa. </w:t>
            </w:r>
            <w:r w:rsidRPr="000E4D47">
              <w:rPr>
                <w:rFonts w:cs="Arial"/>
                <w:b/>
                <w:bCs/>
                <w:sz w:val="20"/>
                <w:szCs w:val="20"/>
              </w:rPr>
              <w:t>Prawa człowieka, nieletni wobec prawa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3DC69898" w14:textId="77777777" w:rsidR="00F57C7A" w:rsidRPr="000E4D47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57C7A" w:rsidRPr="000E4D47" w14:paraId="4E242888" w14:textId="77777777" w:rsidTr="009C663B">
        <w:trPr>
          <w:cantSplit/>
        </w:trPr>
        <w:tc>
          <w:tcPr>
            <w:tcW w:w="9219" w:type="dxa"/>
            <w:gridSpan w:val="2"/>
            <w:shd w:val="clear" w:color="auto" w:fill="548DD4" w:themeFill="text2" w:themeFillTint="99"/>
          </w:tcPr>
          <w:p w14:paraId="4A1CCE53" w14:textId="77777777" w:rsidR="00F57C7A" w:rsidRPr="000E4D47" w:rsidRDefault="00F57C7A" w:rsidP="00E9675A">
            <w:pPr>
              <w:spacing w:before="120" w:after="120"/>
              <w:jc w:val="center"/>
              <w:rPr>
                <w:rFonts w:cs="Arial"/>
                <w:b/>
              </w:rPr>
            </w:pPr>
            <w:r w:rsidRPr="000E4D47">
              <w:rPr>
                <w:rFonts w:cs="Arial"/>
                <w:b/>
              </w:rPr>
              <w:t>Dział VII. W świecie mediów i informacji</w:t>
            </w:r>
          </w:p>
        </w:tc>
      </w:tr>
      <w:tr w:rsidR="00F57C7A" w:rsidRPr="000E4D47" w14:paraId="37118722" w14:textId="77777777" w:rsidTr="009C663B">
        <w:trPr>
          <w:cantSplit/>
        </w:trPr>
        <w:tc>
          <w:tcPr>
            <w:tcW w:w="2518" w:type="dxa"/>
            <w:vAlign w:val="center"/>
          </w:tcPr>
          <w:p w14:paraId="5C33D633" w14:textId="77777777" w:rsidR="00F57C7A" w:rsidRPr="000E4D47" w:rsidRDefault="00F57C7A" w:rsidP="00231DC1">
            <w:pPr>
              <w:ind w:left="284" w:hanging="284"/>
              <w:rPr>
                <w:rFonts w:eastAsia="Times New Roman" w:cs="Arial"/>
                <w:b/>
                <w:color w:val="222222"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35. Media we współczesnym świecie</w:t>
            </w:r>
            <w:r w:rsidRPr="000E4D47">
              <w:rPr>
                <w:rFonts w:eastAsia="Times New Roman" w:cs="Arial"/>
                <w:b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6701" w:type="dxa"/>
          </w:tcPr>
          <w:p w14:paraId="4BAD58D7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X. Środki masowego przekazu. Uczeń:</w:t>
            </w:r>
          </w:p>
          <w:p w14:paraId="543602AD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1) przedstawia funkcje i rodzaje środków masowego przekazu; wyjaśnia znaczenie środków masowego przekazu dla wolności słowa</w:t>
            </w:r>
          </w:p>
        </w:tc>
      </w:tr>
      <w:tr w:rsidR="00F57C7A" w:rsidRPr="000E4D47" w14:paraId="486D8845" w14:textId="77777777" w:rsidTr="009C663B">
        <w:trPr>
          <w:cantSplit/>
        </w:trPr>
        <w:tc>
          <w:tcPr>
            <w:tcW w:w="2518" w:type="dxa"/>
            <w:vAlign w:val="center"/>
          </w:tcPr>
          <w:p w14:paraId="3679E67D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36. Jak korzystać ze środków masowego przekazu</w:t>
            </w:r>
          </w:p>
        </w:tc>
        <w:tc>
          <w:tcPr>
            <w:tcW w:w="6701" w:type="dxa"/>
          </w:tcPr>
          <w:p w14:paraId="7D8C19A8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X. Środki masowego przekazu. Uczeń:</w:t>
            </w:r>
          </w:p>
          <w:p w14:paraId="02C1307B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znajduje w mediach wiadomości na wskaza</w:t>
            </w:r>
            <w:r w:rsidR="00231DC1">
              <w:rPr>
                <w:rFonts w:eastAsia="Times New Roman" w:cs="Arial"/>
                <w:sz w:val="20"/>
                <w:szCs w:val="20"/>
              </w:rPr>
              <w:t>ny temat; odróżnia informacje o </w:t>
            </w:r>
            <w:r w:rsidRPr="000E4D47">
              <w:rPr>
                <w:rFonts w:eastAsia="Times New Roman" w:cs="Arial"/>
                <w:sz w:val="20"/>
                <w:szCs w:val="20"/>
              </w:rPr>
              <w:t>faktach od komentarzy i opinii; wyjaśnia, na czym powinna polegać rzetelność dziennikarzy</w:t>
            </w:r>
          </w:p>
        </w:tc>
      </w:tr>
      <w:tr w:rsidR="00F57C7A" w:rsidRPr="000E4D47" w14:paraId="5CC3D024" w14:textId="77777777" w:rsidTr="009C663B">
        <w:trPr>
          <w:cantSplit/>
        </w:trPr>
        <w:tc>
          <w:tcPr>
            <w:tcW w:w="2518" w:type="dxa"/>
            <w:vAlign w:val="center"/>
          </w:tcPr>
          <w:p w14:paraId="2D1191A4" w14:textId="77777777" w:rsidR="00F57C7A" w:rsidRPr="000E4D47" w:rsidRDefault="00F57C7A" w:rsidP="003352D9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37. Informacja  i przekaz na</w:t>
            </w:r>
            <w:r w:rsidR="003352D9">
              <w:rPr>
                <w:rFonts w:cs="Arial"/>
                <w:b/>
                <w:sz w:val="20"/>
                <w:szCs w:val="20"/>
              </w:rPr>
              <w:t> </w:t>
            </w:r>
            <w:r w:rsidRPr="000E4D47">
              <w:rPr>
                <w:rFonts w:cs="Arial"/>
                <w:b/>
                <w:sz w:val="20"/>
                <w:szCs w:val="20"/>
              </w:rPr>
              <w:t>wagę złota</w:t>
            </w:r>
          </w:p>
        </w:tc>
        <w:tc>
          <w:tcPr>
            <w:tcW w:w="6701" w:type="dxa"/>
          </w:tcPr>
          <w:p w14:paraId="160D1181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X. Środki masowego przekazu. Uczeń:</w:t>
            </w:r>
          </w:p>
          <w:p w14:paraId="5CB910E5" w14:textId="12C25B5A" w:rsidR="00F57C7A" w:rsidRPr="000E4D47" w:rsidRDefault="00306EB2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wskazuje cele kampanii społecznych; analizuje materiały z wybranej kampanii tego rodzaju</w:t>
            </w:r>
          </w:p>
          <w:p w14:paraId="42CA0F90" w14:textId="753438FF" w:rsidR="00F57C7A" w:rsidRPr="000E4D47" w:rsidRDefault="00306EB2" w:rsidP="00E967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>) wykazuje znaczenie opinii publicznej; zna</w:t>
            </w:r>
            <w:r w:rsidR="00231DC1">
              <w:rPr>
                <w:rFonts w:eastAsia="Times New Roman" w:cs="Arial"/>
                <w:sz w:val="20"/>
                <w:szCs w:val="20"/>
              </w:rPr>
              <w:t>jduje w internecie komunikaty z </w:t>
            </w:r>
            <w:r w:rsidR="00F57C7A" w:rsidRPr="000E4D47">
              <w:rPr>
                <w:rFonts w:eastAsia="Times New Roman" w:cs="Arial"/>
                <w:sz w:val="20"/>
                <w:szCs w:val="20"/>
              </w:rPr>
              <w:t xml:space="preserve">badań opinii publicznej oraz odczytuje i interpretuje proste wyniki takich badań </w:t>
            </w:r>
          </w:p>
        </w:tc>
      </w:tr>
      <w:tr w:rsidR="00F57C7A" w:rsidRPr="000E4D47" w14:paraId="2B96D7C7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4E432" w14:textId="77777777" w:rsidR="00F57C7A" w:rsidRPr="000E4D47" w:rsidRDefault="00F57C7A" w:rsidP="00231DC1">
            <w:pPr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t>38. Cyberprzestrzeń – korzyści i zagrożenia</w:t>
            </w:r>
          </w:p>
        </w:tc>
        <w:tc>
          <w:tcPr>
            <w:tcW w:w="6701" w:type="dxa"/>
            <w:tcBorders>
              <w:left w:val="single" w:sz="4" w:space="0" w:color="auto"/>
            </w:tcBorders>
            <w:shd w:val="clear" w:color="auto" w:fill="auto"/>
          </w:tcPr>
          <w:p w14:paraId="3F833A51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V. Nieletni wobec prawa. Uczeń:</w:t>
            </w:r>
          </w:p>
          <w:p w14:paraId="2860FB56" w14:textId="77777777" w:rsidR="00F57C7A" w:rsidRPr="000E4D47" w:rsidRDefault="00F57C7A" w:rsidP="00E9675A">
            <w:pPr>
              <w:rPr>
                <w:rFonts w:eastAsia="Times New Roman" w:cs="Arial"/>
                <w:sz w:val="20"/>
                <w:szCs w:val="20"/>
              </w:rPr>
            </w:pPr>
            <w:r w:rsidRPr="000E4D47">
              <w:rPr>
                <w:rFonts w:eastAsia="Times New Roman" w:cs="Arial"/>
                <w:sz w:val="20"/>
                <w:szCs w:val="20"/>
              </w:rPr>
              <w:t>2) przedstawia korzyści i zagrożenia wynikające z korzystania z zasobów internetu; rozpoznaje przemoc w cyberprzestrzeni i wyjaśnia, jak należy na nią reagować</w:t>
            </w:r>
          </w:p>
        </w:tc>
      </w:tr>
      <w:tr w:rsidR="00F57C7A" w:rsidRPr="000E4D47" w14:paraId="2C165910" w14:textId="77777777" w:rsidTr="009C663B">
        <w:trPr>
          <w:cantSplit/>
        </w:trPr>
        <w:tc>
          <w:tcPr>
            <w:tcW w:w="2518" w:type="dxa"/>
            <w:tcBorders>
              <w:right w:val="single" w:sz="4" w:space="0" w:color="auto"/>
            </w:tcBorders>
          </w:tcPr>
          <w:p w14:paraId="54E0B659" w14:textId="77777777" w:rsidR="00F57C7A" w:rsidRPr="000E4D47" w:rsidRDefault="00F57C7A" w:rsidP="00E9675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0E4D47">
              <w:rPr>
                <w:rFonts w:cs="Arial"/>
                <w:b/>
                <w:sz w:val="20"/>
                <w:szCs w:val="20"/>
              </w:rPr>
              <w:lastRenderedPageBreak/>
              <w:t xml:space="preserve">Lekcja powtórzeniowa. </w:t>
            </w:r>
            <w:r w:rsidRPr="000E4D47">
              <w:rPr>
                <w:rFonts w:cs="Arial"/>
                <w:b/>
                <w:bCs/>
                <w:sz w:val="20"/>
                <w:szCs w:val="20"/>
              </w:rPr>
              <w:t>W świecie mediów i informacji</w:t>
            </w:r>
          </w:p>
        </w:tc>
        <w:tc>
          <w:tcPr>
            <w:tcW w:w="6701" w:type="dxa"/>
            <w:tcBorders>
              <w:left w:val="single" w:sz="4" w:space="0" w:color="auto"/>
            </w:tcBorders>
          </w:tcPr>
          <w:p w14:paraId="4BC051FE" w14:textId="77777777" w:rsidR="00F57C7A" w:rsidRPr="000E4D47" w:rsidRDefault="00F57C7A" w:rsidP="00E9675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706381D8" w14:textId="77777777" w:rsidR="00F57C7A" w:rsidRPr="000E4D47" w:rsidRDefault="00F57C7A" w:rsidP="00F57C7A">
      <w:pPr>
        <w:spacing w:after="0" w:line="240" w:lineRule="auto"/>
        <w:rPr>
          <w:rFonts w:cs="Arial"/>
          <w:sz w:val="20"/>
          <w:szCs w:val="20"/>
        </w:rPr>
      </w:pPr>
    </w:p>
    <w:p w14:paraId="34791CCD" w14:textId="77777777" w:rsidR="00983221" w:rsidRPr="00B70C6A" w:rsidRDefault="00983221" w:rsidP="00B70C6A"/>
    <w:sectPr w:rsidR="00983221" w:rsidRPr="00B70C6A" w:rsidSect="006B5810">
      <w:headerReference w:type="default" r:id="rId9"/>
      <w:footerReference w:type="default" r:id="rId10"/>
      <w:pgSz w:w="11906" w:h="16838"/>
      <w:pgMar w:top="1985" w:right="849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CF70D" w14:textId="77777777" w:rsidR="003047ED" w:rsidRDefault="003047ED" w:rsidP="00285D6F">
      <w:pPr>
        <w:spacing w:after="0" w:line="240" w:lineRule="auto"/>
      </w:pPr>
      <w:r>
        <w:separator/>
      </w:r>
    </w:p>
  </w:endnote>
  <w:endnote w:type="continuationSeparator" w:id="0">
    <w:p w14:paraId="5B379014" w14:textId="77777777" w:rsidR="003047ED" w:rsidRDefault="003047E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13D2" w14:textId="77777777" w:rsidR="009C663B" w:rsidRDefault="009C663B" w:rsidP="009C663B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F6F22B" wp14:editId="3BB51FBB">
              <wp:simplePos x="0" y="0"/>
              <wp:positionH relativeFrom="column">
                <wp:posOffset>-6541</wp:posOffset>
              </wp:positionH>
              <wp:positionV relativeFrom="paragraph">
                <wp:posOffset>88335</wp:posOffset>
              </wp:positionV>
              <wp:extent cx="6040961" cy="36037"/>
              <wp:effectExtent l="0" t="0" r="36195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0961" cy="36037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9981D7" id="Łącznik prostoliniow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6.95pt" to="475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" strokecolor="#f09120" strokeweight="1.5pt"/>
          </w:pict>
        </mc:Fallback>
      </mc:AlternateContent>
    </w:r>
  </w:p>
  <w:p w14:paraId="6C3E1BE7" w14:textId="77777777" w:rsidR="009C663B" w:rsidRDefault="009C663B" w:rsidP="009C663B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zy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Piotr Krzesicki, Piotr Kur</w:t>
    </w:r>
  </w:p>
  <w:p w14:paraId="25C16B19" w14:textId="77777777" w:rsidR="009C663B" w:rsidRDefault="009C663B" w:rsidP="009C663B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8F270B" wp14:editId="44D9B03B">
              <wp:simplePos x="0" y="0"/>
              <wp:positionH relativeFrom="column">
                <wp:posOffset>-1255</wp:posOffset>
              </wp:positionH>
              <wp:positionV relativeFrom="paragraph">
                <wp:posOffset>68954</wp:posOffset>
              </wp:positionV>
              <wp:extent cx="603609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09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FFB616"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5.45pt" to="475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" strokecolor="windowText" strokeweight=".5pt"/>
          </w:pict>
        </mc:Fallback>
      </mc:AlternateContent>
    </w:r>
  </w:p>
  <w:p w14:paraId="0836736E" w14:textId="77777777" w:rsidR="009C663B" w:rsidRDefault="009C663B" w:rsidP="009C663B">
    <w:pPr>
      <w:pStyle w:val="Stopka"/>
      <w:tabs>
        <w:tab w:val="clear" w:pos="9072"/>
        <w:tab w:val="right" w:pos="9498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6E4A9C1A" wp14:editId="3F537506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A36930">
      <w:rPr>
        <w:noProof/>
      </w:rPr>
      <w:t>1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1084713C" w14:textId="77777777" w:rsidR="00983221" w:rsidRPr="00285D6F" w:rsidRDefault="00983221" w:rsidP="00983221">
    <w:pPr>
      <w:pStyle w:val="Stopka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BF1AD" w14:textId="77777777" w:rsidR="003047ED" w:rsidRDefault="003047ED" w:rsidP="00285D6F">
      <w:pPr>
        <w:spacing w:after="0" w:line="240" w:lineRule="auto"/>
      </w:pPr>
      <w:r>
        <w:separator/>
      </w:r>
    </w:p>
  </w:footnote>
  <w:footnote w:type="continuationSeparator" w:id="0">
    <w:p w14:paraId="03ED3018" w14:textId="77777777" w:rsidR="003047ED" w:rsidRDefault="003047E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F6F6" w14:textId="77777777" w:rsidR="00435B7E" w:rsidRDefault="00435B7E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EFF0E12" wp14:editId="49CBB0B0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94876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5F4D8B8A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3CEF2192" w14:textId="77777777" w:rsidR="00B70C6A" w:rsidRDefault="00231DC1" w:rsidP="00B70C6A">
    <w:pPr>
      <w:pStyle w:val="Nagwek"/>
      <w:tabs>
        <w:tab w:val="clear" w:pos="9072"/>
      </w:tabs>
      <w:ind w:left="142" w:right="-283"/>
    </w:pPr>
    <w:r>
      <w:rPr>
        <w:b/>
        <w:color w:val="F09120"/>
      </w:rPr>
      <w:t>Wiedza o społeczeństwie</w:t>
    </w:r>
    <w:r w:rsidR="00B70C6A" w:rsidRPr="00435B7E">
      <w:rPr>
        <w:color w:val="F09120"/>
      </w:rPr>
      <w:t xml:space="preserve"> </w:t>
    </w:r>
    <w:r w:rsidR="00B70C6A">
      <w:t>| Klasa</w:t>
    </w:r>
    <w:r>
      <w:t xml:space="preserve"> 8</w:t>
    </w:r>
    <w:r w:rsidR="00B70C6A">
      <w:tab/>
    </w:r>
    <w:r w:rsidR="00B70C6A">
      <w:tab/>
      <w:t xml:space="preserve"> </w:t>
    </w:r>
    <w:r w:rsidR="00B70C6A">
      <w:tab/>
    </w:r>
    <w:r w:rsidR="00B70C6A">
      <w:tab/>
    </w:r>
    <w:r w:rsidR="00B70C6A">
      <w:tab/>
      <w:t xml:space="preserve">     </w:t>
    </w:r>
    <w:r>
      <w:t xml:space="preserve">  </w:t>
    </w:r>
    <w:r>
      <w:rPr>
        <w:i/>
      </w:rPr>
      <w:t>Szkoła podstawowa 4–8</w:t>
    </w:r>
  </w:p>
  <w:p w14:paraId="3CE7C238" w14:textId="77777777" w:rsidR="00285D6F" w:rsidRDefault="00285D6F" w:rsidP="003B56FB">
    <w:pPr>
      <w:pStyle w:val="Nagwek"/>
      <w:tabs>
        <w:tab w:val="clear" w:pos="9072"/>
      </w:tabs>
      <w:ind w:righ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0564C2"/>
    <w:rsid w:val="000C655E"/>
    <w:rsid w:val="001076F5"/>
    <w:rsid w:val="001462E0"/>
    <w:rsid w:val="00231DC1"/>
    <w:rsid w:val="00245DA5"/>
    <w:rsid w:val="00285D6F"/>
    <w:rsid w:val="002F1910"/>
    <w:rsid w:val="003047ED"/>
    <w:rsid w:val="00306EB2"/>
    <w:rsid w:val="00317434"/>
    <w:rsid w:val="003352D9"/>
    <w:rsid w:val="003572A4"/>
    <w:rsid w:val="00386984"/>
    <w:rsid w:val="003B56FB"/>
    <w:rsid w:val="00435B7E"/>
    <w:rsid w:val="004545DD"/>
    <w:rsid w:val="00517153"/>
    <w:rsid w:val="005172AF"/>
    <w:rsid w:val="005353B5"/>
    <w:rsid w:val="00602ABB"/>
    <w:rsid w:val="00672759"/>
    <w:rsid w:val="006B5810"/>
    <w:rsid w:val="006B7499"/>
    <w:rsid w:val="00756AC0"/>
    <w:rsid w:val="00781C54"/>
    <w:rsid w:val="007B3CB5"/>
    <w:rsid w:val="00804E2A"/>
    <w:rsid w:val="0082770B"/>
    <w:rsid w:val="008648E0"/>
    <w:rsid w:val="008C2636"/>
    <w:rsid w:val="00983221"/>
    <w:rsid w:val="009C663B"/>
    <w:rsid w:val="009E0F62"/>
    <w:rsid w:val="00A363DC"/>
    <w:rsid w:val="00A36930"/>
    <w:rsid w:val="00A5798A"/>
    <w:rsid w:val="00AA3ACA"/>
    <w:rsid w:val="00B70C6A"/>
    <w:rsid w:val="00B76708"/>
    <w:rsid w:val="00CB513D"/>
    <w:rsid w:val="00CF79B7"/>
    <w:rsid w:val="00DE4B42"/>
    <w:rsid w:val="00EC12C2"/>
    <w:rsid w:val="00F2739C"/>
    <w:rsid w:val="00F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66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F57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5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07PODSTAWAtytul">
    <w:name w:val="007 PODSTAWA_tytul"/>
    <w:basedOn w:val="Normalny"/>
    <w:uiPriority w:val="99"/>
    <w:rsid w:val="00F57C7A"/>
    <w:pPr>
      <w:widowControl w:val="0"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" w:eastAsiaTheme="minorEastAsia" w:hAnsi="AgendaPl Bold" w:cs="AgendaPl Bold"/>
      <w:b/>
      <w:bCs/>
      <w:color w:val="FF7F00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F57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5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07PODSTAWAtytul">
    <w:name w:val="007 PODSTAWA_tytul"/>
    <w:basedOn w:val="Normalny"/>
    <w:uiPriority w:val="99"/>
    <w:rsid w:val="00F57C7A"/>
    <w:pPr>
      <w:widowControl w:val="0"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" w:eastAsiaTheme="minorEastAsia" w:hAnsi="AgendaPl Bold" w:cs="AgendaPl Bold"/>
      <w:b/>
      <w:bCs/>
      <w:color w:val="FF7F00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E380-42DE-4873-A3B1-CAB12A37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1953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uczen</cp:lastModifiedBy>
  <cp:revision>2</cp:revision>
  <dcterms:created xsi:type="dcterms:W3CDTF">2024-09-04T11:19:00Z</dcterms:created>
  <dcterms:modified xsi:type="dcterms:W3CDTF">2024-09-04T11:19:00Z</dcterms:modified>
</cp:coreProperties>
</file>